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540B" w:rsidRDefault="0071711C">
      <w:pPr>
        <w:spacing w:line="240" w:lineRule="auto"/>
        <w:jc w:val="center"/>
        <w:rPr>
          <w:rFonts w:ascii="Times New Roman" w:eastAsia="Times New Roman" w:hAnsi="Times New Roman" w:cs="Times New Roman"/>
          <w:b/>
          <w:sz w:val="26"/>
          <w:szCs w:val="26"/>
        </w:rPr>
      </w:pPr>
      <w:bookmarkStart w:id="0" w:name="_GoBack"/>
      <w:bookmarkEnd w:id="0"/>
      <w:r>
        <w:rPr>
          <w:rFonts w:ascii="Times New Roman" w:eastAsia="Times New Roman" w:hAnsi="Times New Roman" w:cs="Times New Roman"/>
          <w:b/>
          <w:sz w:val="26"/>
          <w:szCs w:val="26"/>
        </w:rPr>
        <w:t>ARIZONA SUPREME COURT</w:t>
      </w:r>
    </w:p>
    <w:p w:rsidR="00F3540B" w:rsidRDefault="0071711C">
      <w:pPr>
        <w:spacing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CERTIFICATION AND LICENSING DIVISION</w:t>
      </w:r>
    </w:p>
    <w:p w:rsidR="00F3540B" w:rsidRDefault="0071711C">
      <w:pPr>
        <w:spacing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WORKING DRAFT AMENDMENT TO ARIZONA CODE OF </w:t>
      </w:r>
    </w:p>
    <w:p w:rsidR="00F3540B" w:rsidRDefault="0071711C">
      <w:pPr>
        <w:spacing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JUDICIAL ADMINISTRATION § 7-208</w:t>
      </w:r>
    </w:p>
    <w:p w:rsidR="00F3540B" w:rsidRDefault="00F3540B">
      <w:pPr>
        <w:spacing w:line="240" w:lineRule="auto"/>
        <w:jc w:val="center"/>
        <w:rPr>
          <w:rFonts w:ascii="Times New Roman" w:eastAsia="Times New Roman" w:hAnsi="Times New Roman" w:cs="Times New Roman"/>
          <w:b/>
          <w:sz w:val="26"/>
          <w:szCs w:val="26"/>
        </w:rPr>
      </w:pPr>
    </w:p>
    <w:p w:rsidR="00F3540B" w:rsidRDefault="0071711C">
      <w:pPr>
        <w:spacing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IN RE:</w:t>
      </w:r>
      <w:r>
        <w:rPr>
          <w:rFonts w:ascii="Times New Roman" w:eastAsia="Times New Roman" w:hAnsi="Times New Roman" w:cs="Times New Roman"/>
          <w:b/>
          <w:sz w:val="26"/>
          <w:szCs w:val="26"/>
        </w:rPr>
        <w:tab/>
        <w:t>PROPOSED CHANGES TO</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w:t>
      </w:r>
    </w:p>
    <w:p w:rsidR="00F3540B" w:rsidRDefault="0071711C">
      <w:pPr>
        <w:spacing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SECTION 7-208: LEGAL</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w:t>
      </w:r>
    </w:p>
    <w:p w:rsidR="00F3540B" w:rsidRDefault="0071711C">
      <w:pPr>
        <w:spacing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DOCUMENT PREPARER</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w:t>
      </w:r>
    </w:p>
    <w:p w:rsidR="00F3540B" w:rsidRDefault="00F3540B">
      <w:pPr>
        <w:spacing w:line="240" w:lineRule="auto"/>
        <w:rPr>
          <w:rFonts w:ascii="Times New Roman" w:eastAsia="Times New Roman" w:hAnsi="Times New Roman" w:cs="Times New Roman"/>
          <w:b/>
          <w:sz w:val="26"/>
          <w:szCs w:val="26"/>
        </w:rPr>
      </w:pPr>
    </w:p>
    <w:p w:rsidR="00F3540B" w:rsidRDefault="0071711C">
      <w:pPr>
        <w:spacing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Comment Regarding Proposed Changes to Arizona Code</w:t>
      </w:r>
    </w:p>
    <w:p w:rsidR="00F3540B" w:rsidRDefault="0071711C">
      <w:pPr>
        <w:spacing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Of Judicial Administration Section 7-208</w:t>
      </w:r>
    </w:p>
    <w:p w:rsidR="00F3540B" w:rsidRDefault="00F3540B">
      <w:pPr>
        <w:spacing w:line="240" w:lineRule="auto"/>
        <w:jc w:val="center"/>
        <w:rPr>
          <w:rFonts w:ascii="Times New Roman" w:eastAsia="Times New Roman" w:hAnsi="Times New Roman" w:cs="Times New Roman"/>
          <w:b/>
          <w:sz w:val="26"/>
          <w:szCs w:val="26"/>
        </w:rPr>
      </w:pPr>
    </w:p>
    <w:p w:rsidR="00F3540B" w:rsidRDefault="0071711C">
      <w:pPr>
        <w:spacing w:line="48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The Arizona Association of Independent Paralegals</w:t>
      </w:r>
      <w:r w:rsidR="007D62B7">
        <w:rPr>
          <w:rFonts w:ascii="Times New Roman" w:eastAsia="Times New Roman" w:hAnsi="Times New Roman" w:cs="Times New Roman"/>
          <w:sz w:val="26"/>
          <w:szCs w:val="26"/>
        </w:rPr>
        <w:t xml:space="preserve">, by and through undersigned counsel </w:t>
      </w:r>
      <w:r>
        <w:rPr>
          <w:rFonts w:ascii="Times New Roman" w:eastAsia="Times New Roman" w:hAnsi="Times New Roman" w:cs="Times New Roman"/>
          <w:sz w:val="26"/>
          <w:szCs w:val="26"/>
        </w:rPr>
        <w:t>hereby respectfully submit</w:t>
      </w:r>
      <w:r w:rsidR="007D62B7">
        <w:rPr>
          <w:rFonts w:ascii="Times New Roman" w:eastAsia="Times New Roman" w:hAnsi="Times New Roman" w:cs="Times New Roman"/>
          <w:sz w:val="26"/>
          <w:szCs w:val="26"/>
        </w:rPr>
        <w:t>s</w:t>
      </w:r>
      <w:r>
        <w:rPr>
          <w:rFonts w:ascii="Times New Roman" w:eastAsia="Times New Roman" w:hAnsi="Times New Roman" w:cs="Times New Roman"/>
          <w:sz w:val="26"/>
          <w:szCs w:val="26"/>
        </w:rPr>
        <w:t xml:space="preserve"> </w:t>
      </w:r>
      <w:r w:rsidR="007D62B7">
        <w:rPr>
          <w:rFonts w:ascii="Times New Roman" w:eastAsia="Times New Roman" w:hAnsi="Times New Roman" w:cs="Times New Roman"/>
          <w:sz w:val="26"/>
          <w:szCs w:val="26"/>
        </w:rPr>
        <w:t>its</w:t>
      </w:r>
      <w:r>
        <w:rPr>
          <w:rFonts w:ascii="Times New Roman" w:eastAsia="Times New Roman" w:hAnsi="Times New Roman" w:cs="Times New Roman"/>
          <w:sz w:val="26"/>
          <w:szCs w:val="26"/>
        </w:rPr>
        <w:t xml:space="preserve"> Comment regarding </w:t>
      </w:r>
      <w:r w:rsidR="007D62B7">
        <w:rPr>
          <w:rFonts w:ascii="Times New Roman" w:eastAsia="Times New Roman" w:hAnsi="Times New Roman" w:cs="Times New Roman"/>
          <w:sz w:val="26"/>
          <w:szCs w:val="26"/>
        </w:rPr>
        <w:t xml:space="preserve">the </w:t>
      </w:r>
      <w:r>
        <w:rPr>
          <w:rFonts w:ascii="Times New Roman" w:eastAsia="Times New Roman" w:hAnsi="Times New Roman" w:cs="Times New Roman"/>
          <w:sz w:val="26"/>
          <w:szCs w:val="26"/>
        </w:rPr>
        <w:t>proposed changes to Section 7-208(J)(3) of the Arizona Code of Judicial Administration as set forth in the proposed draft posted on the Arizona Code of Judicial Administration online forum on September 14, 2017 and proposed by the Board of Legal Document Preparers (the “Board”, as defined by ACJA § 7-208(A)).</w:t>
      </w:r>
    </w:p>
    <w:p w:rsidR="00F3540B" w:rsidRDefault="0071711C">
      <w:pPr>
        <w:spacing w:line="480" w:lineRule="auto"/>
        <w:jc w:val="center"/>
        <w:rPr>
          <w:rFonts w:ascii="Times New Roman" w:eastAsia="Times New Roman" w:hAnsi="Times New Roman" w:cs="Times New Roman"/>
          <w:b/>
          <w:sz w:val="26"/>
          <w:szCs w:val="26"/>
          <w:u w:val="single"/>
        </w:rPr>
      </w:pPr>
      <w:r>
        <w:rPr>
          <w:rFonts w:ascii="Times New Roman" w:eastAsia="Times New Roman" w:hAnsi="Times New Roman" w:cs="Times New Roman"/>
          <w:b/>
          <w:sz w:val="26"/>
          <w:szCs w:val="26"/>
        </w:rPr>
        <w:t>I.</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u w:val="single"/>
        </w:rPr>
        <w:t>The Current Rule and Proposed Amendments</w:t>
      </w:r>
    </w:p>
    <w:p w:rsidR="00F3540B" w:rsidRDefault="0071711C">
      <w:pPr>
        <w:spacing w:line="48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A.</w:t>
      </w:r>
      <w:r>
        <w:rPr>
          <w:rFonts w:ascii="Times New Roman" w:eastAsia="Times New Roman" w:hAnsi="Times New Roman" w:cs="Times New Roman"/>
          <w:b/>
          <w:sz w:val="26"/>
          <w:szCs w:val="26"/>
        </w:rPr>
        <w:tab/>
        <w:t>The Current Rule</w:t>
      </w:r>
    </w:p>
    <w:p w:rsidR="00F3540B" w:rsidRDefault="0071711C">
      <w:pPr>
        <w:spacing w:line="480" w:lineRule="auto"/>
        <w:rPr>
          <w:rFonts w:ascii="Times New Roman" w:eastAsia="Times New Roman" w:hAnsi="Times New Roman" w:cs="Times New Roman"/>
          <w:sz w:val="26"/>
          <w:szCs w:val="26"/>
        </w:rPr>
      </w:pPr>
      <w:r>
        <w:rPr>
          <w:rFonts w:ascii="Times New Roman" w:eastAsia="Times New Roman" w:hAnsi="Times New Roman" w:cs="Times New Roman"/>
          <w:b/>
          <w:sz w:val="26"/>
          <w:szCs w:val="26"/>
        </w:rPr>
        <w:tab/>
      </w:r>
      <w:r>
        <w:rPr>
          <w:rFonts w:ascii="Times New Roman" w:eastAsia="Times New Roman" w:hAnsi="Times New Roman" w:cs="Times New Roman"/>
          <w:sz w:val="26"/>
          <w:szCs w:val="26"/>
        </w:rPr>
        <w:t>The current Arizona Code of Judicial Administration (“ACJA”) § 7-208(J)(3) provides as follows:</w:t>
      </w:r>
    </w:p>
    <w:p w:rsidR="00F3540B" w:rsidRDefault="0071711C">
      <w:pPr>
        <w:spacing w:line="240" w:lineRule="auto"/>
        <w:ind w:left="1440" w:right="720" w:hanging="720"/>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a.</w:t>
      </w:r>
      <w:r>
        <w:rPr>
          <w:rFonts w:ascii="Times New Roman" w:eastAsia="Times New Roman" w:hAnsi="Times New Roman" w:cs="Times New Roman"/>
          <w:i/>
          <w:sz w:val="26"/>
          <w:szCs w:val="26"/>
        </w:rPr>
        <w:tab/>
        <w:t xml:space="preserve">A legal document preparer shall, upon request of a consumer at any time, disclose in writing an itemization of all rates and charges to that consumer. </w:t>
      </w:r>
    </w:p>
    <w:p w:rsidR="00F3540B" w:rsidRDefault="00F3540B">
      <w:pPr>
        <w:spacing w:line="240" w:lineRule="auto"/>
        <w:ind w:left="720" w:right="720"/>
        <w:jc w:val="both"/>
        <w:rPr>
          <w:rFonts w:ascii="Times New Roman" w:eastAsia="Times New Roman" w:hAnsi="Times New Roman" w:cs="Times New Roman"/>
          <w:i/>
          <w:sz w:val="26"/>
          <w:szCs w:val="26"/>
        </w:rPr>
      </w:pPr>
    </w:p>
    <w:p w:rsidR="00F3540B" w:rsidRDefault="0071711C">
      <w:pPr>
        <w:spacing w:line="240" w:lineRule="auto"/>
        <w:ind w:left="1440" w:right="720" w:hanging="720"/>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b.</w:t>
      </w:r>
      <w:r>
        <w:rPr>
          <w:rFonts w:ascii="Times New Roman" w:eastAsia="Times New Roman" w:hAnsi="Times New Roman" w:cs="Times New Roman"/>
          <w:i/>
          <w:sz w:val="26"/>
          <w:szCs w:val="26"/>
        </w:rPr>
        <w:tab/>
        <w:t xml:space="preserve">A legal document preparer shall determine fees independently, except when otherwise established by law, entering into no unlawful agreements with other legal document preparers on the fees charged to any user. </w:t>
      </w:r>
    </w:p>
    <w:p w:rsidR="00F3540B" w:rsidRDefault="00F3540B">
      <w:pPr>
        <w:spacing w:line="240" w:lineRule="auto"/>
        <w:ind w:left="1440" w:right="720" w:hanging="720"/>
        <w:jc w:val="both"/>
        <w:rPr>
          <w:rFonts w:ascii="Times New Roman" w:eastAsia="Times New Roman" w:hAnsi="Times New Roman" w:cs="Times New Roman"/>
          <w:i/>
          <w:sz w:val="26"/>
          <w:szCs w:val="26"/>
        </w:rPr>
      </w:pPr>
    </w:p>
    <w:p w:rsidR="00F3540B" w:rsidRDefault="0071711C">
      <w:pPr>
        <w:spacing w:line="240" w:lineRule="auto"/>
        <w:ind w:left="1440" w:right="720" w:hanging="720"/>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lastRenderedPageBreak/>
        <w:t>c.</w:t>
      </w:r>
      <w:r>
        <w:rPr>
          <w:rFonts w:ascii="Times New Roman" w:eastAsia="Times New Roman" w:hAnsi="Times New Roman" w:cs="Times New Roman"/>
          <w:i/>
          <w:sz w:val="26"/>
          <w:szCs w:val="26"/>
        </w:rPr>
        <w:tab/>
        <w:t>A legal document preparer shall at all times be aware of and avoid impropriety or the appearance of impropriety, which may include, but is not limited to:</w:t>
      </w:r>
    </w:p>
    <w:p w:rsidR="00F3540B" w:rsidRDefault="00F3540B">
      <w:pPr>
        <w:spacing w:line="240" w:lineRule="auto"/>
        <w:ind w:left="1440" w:right="720" w:hanging="720"/>
        <w:jc w:val="both"/>
        <w:rPr>
          <w:rFonts w:ascii="Times New Roman" w:eastAsia="Times New Roman" w:hAnsi="Times New Roman" w:cs="Times New Roman"/>
          <w:i/>
          <w:sz w:val="26"/>
          <w:szCs w:val="26"/>
        </w:rPr>
      </w:pPr>
    </w:p>
    <w:p w:rsidR="00F3540B" w:rsidRDefault="0071711C">
      <w:pPr>
        <w:spacing w:line="240" w:lineRule="auto"/>
        <w:ind w:left="2160" w:right="720" w:hanging="720"/>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(1)</w:t>
      </w:r>
      <w:r>
        <w:rPr>
          <w:rFonts w:ascii="Times New Roman" w:eastAsia="Times New Roman" w:hAnsi="Times New Roman" w:cs="Times New Roman"/>
          <w:i/>
          <w:sz w:val="26"/>
          <w:szCs w:val="26"/>
        </w:rPr>
        <w:tab/>
        <w:t xml:space="preserve">Establishing contingent fees as a basis of compensation; </w:t>
      </w:r>
    </w:p>
    <w:p w:rsidR="00F3540B" w:rsidRDefault="0071711C">
      <w:pPr>
        <w:spacing w:line="240" w:lineRule="auto"/>
        <w:ind w:left="2160" w:right="720" w:hanging="720"/>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 xml:space="preserve">(2) </w:t>
      </w:r>
      <w:r>
        <w:rPr>
          <w:rFonts w:ascii="Times New Roman" w:eastAsia="Times New Roman" w:hAnsi="Times New Roman" w:cs="Times New Roman"/>
          <w:i/>
          <w:sz w:val="26"/>
          <w:szCs w:val="26"/>
        </w:rPr>
        <w:tab/>
        <w:t xml:space="preserve">Directly or indirectly receiving of any gift, incentive, reward, or anything of value as a condition of the performance of professional services; and </w:t>
      </w:r>
    </w:p>
    <w:p w:rsidR="00F3540B" w:rsidRDefault="0071711C">
      <w:pPr>
        <w:spacing w:line="240" w:lineRule="auto"/>
        <w:ind w:left="2160" w:right="720" w:hanging="720"/>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 xml:space="preserve">(3) </w:t>
      </w:r>
      <w:r>
        <w:rPr>
          <w:rFonts w:ascii="Times New Roman" w:eastAsia="Times New Roman" w:hAnsi="Times New Roman" w:cs="Times New Roman"/>
          <w:i/>
          <w:sz w:val="26"/>
          <w:szCs w:val="26"/>
        </w:rPr>
        <w:tab/>
        <w:t xml:space="preserve">Directly or indirectly offering to pay any commission or other consideration in order to secure professional assignments. d. A legal document preparer may consult, associate, collaborate with, and involve other professionals in order to assist the consumer. </w:t>
      </w:r>
    </w:p>
    <w:p w:rsidR="00F3540B" w:rsidRDefault="00F3540B">
      <w:pPr>
        <w:spacing w:line="240" w:lineRule="auto"/>
        <w:ind w:left="2160" w:right="720" w:hanging="720"/>
        <w:jc w:val="both"/>
        <w:rPr>
          <w:rFonts w:ascii="Times New Roman" w:eastAsia="Times New Roman" w:hAnsi="Times New Roman" w:cs="Times New Roman"/>
          <w:i/>
          <w:sz w:val="26"/>
          <w:szCs w:val="26"/>
        </w:rPr>
      </w:pPr>
    </w:p>
    <w:p w:rsidR="00F3540B" w:rsidRDefault="0071711C">
      <w:pPr>
        <w:spacing w:line="240" w:lineRule="auto"/>
        <w:ind w:left="1440" w:right="720" w:hanging="720"/>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d.</w:t>
      </w:r>
      <w:r>
        <w:rPr>
          <w:rFonts w:ascii="Times New Roman" w:eastAsia="Times New Roman" w:hAnsi="Times New Roman" w:cs="Times New Roman"/>
          <w:i/>
          <w:sz w:val="26"/>
          <w:szCs w:val="26"/>
        </w:rPr>
        <w:tab/>
        <w:t>A legal document preparer may consult, associate, collaborate with, and involve other professionals in order to assist the consumer.</w:t>
      </w:r>
    </w:p>
    <w:p w:rsidR="00F3540B" w:rsidRDefault="00F3540B">
      <w:pPr>
        <w:spacing w:line="240" w:lineRule="auto"/>
        <w:ind w:left="2160" w:right="720" w:hanging="720"/>
        <w:jc w:val="both"/>
        <w:rPr>
          <w:rFonts w:ascii="Times New Roman" w:eastAsia="Times New Roman" w:hAnsi="Times New Roman" w:cs="Times New Roman"/>
          <w:i/>
          <w:sz w:val="26"/>
          <w:szCs w:val="26"/>
        </w:rPr>
      </w:pPr>
    </w:p>
    <w:p w:rsidR="00F3540B" w:rsidRDefault="0071711C">
      <w:pPr>
        <w:spacing w:line="48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B.</w:t>
      </w:r>
      <w:r>
        <w:rPr>
          <w:rFonts w:ascii="Times New Roman" w:eastAsia="Times New Roman" w:hAnsi="Times New Roman" w:cs="Times New Roman"/>
          <w:b/>
          <w:sz w:val="26"/>
          <w:szCs w:val="26"/>
        </w:rPr>
        <w:tab/>
        <w:t>The Proposed Amendment</w:t>
      </w:r>
    </w:p>
    <w:p w:rsidR="00F3540B" w:rsidRDefault="0071711C">
      <w:pPr>
        <w:spacing w:line="48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ab/>
      </w:r>
      <w:r>
        <w:rPr>
          <w:rFonts w:ascii="Times New Roman" w:eastAsia="Times New Roman" w:hAnsi="Times New Roman" w:cs="Times New Roman"/>
          <w:sz w:val="26"/>
          <w:szCs w:val="26"/>
        </w:rPr>
        <w:t>The proposed rule change seeks to add two additional subsections to ACJA § 7-208(J)(3), which would read:</w:t>
      </w:r>
    </w:p>
    <w:p w:rsidR="00F3540B" w:rsidRDefault="0071711C">
      <w:pPr>
        <w:spacing w:line="240" w:lineRule="auto"/>
        <w:ind w:left="1440" w:right="720" w:hanging="720"/>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e.</w:t>
      </w:r>
      <w:r>
        <w:rPr>
          <w:rFonts w:ascii="Times New Roman" w:eastAsia="Times New Roman" w:hAnsi="Times New Roman" w:cs="Times New Roman"/>
          <w:i/>
          <w:sz w:val="26"/>
          <w:szCs w:val="26"/>
        </w:rPr>
        <w:tab/>
        <w:t>Other than performing research to determine the legal document preparer is utilizing the appropriate form, the legal document preparer shall not perform legal research concerning particular statutes, case law or other sources of information concerning legal theory or authority on behalf of a specific client.  The legal document preparer may perform such research to develop an understanding of general legal principles when the research is not done on behalf of a specific client.</w:t>
      </w:r>
    </w:p>
    <w:p w:rsidR="00F3540B" w:rsidRDefault="00F3540B">
      <w:pPr>
        <w:spacing w:line="240" w:lineRule="auto"/>
        <w:ind w:left="1440" w:right="720" w:hanging="720"/>
        <w:jc w:val="both"/>
        <w:rPr>
          <w:rFonts w:ascii="Times New Roman" w:eastAsia="Times New Roman" w:hAnsi="Times New Roman" w:cs="Times New Roman"/>
          <w:i/>
          <w:sz w:val="26"/>
          <w:szCs w:val="26"/>
        </w:rPr>
      </w:pPr>
    </w:p>
    <w:p w:rsidR="00F3540B" w:rsidRDefault="0071711C">
      <w:pPr>
        <w:spacing w:line="240" w:lineRule="auto"/>
        <w:ind w:left="1440" w:right="720" w:hanging="720"/>
        <w:jc w:val="both"/>
        <w:rPr>
          <w:rFonts w:ascii="Times New Roman" w:eastAsia="Times New Roman" w:hAnsi="Times New Roman" w:cs="Times New Roman"/>
          <w:sz w:val="26"/>
          <w:szCs w:val="26"/>
        </w:rPr>
      </w:pPr>
      <w:r>
        <w:rPr>
          <w:rFonts w:ascii="Times New Roman" w:eastAsia="Times New Roman" w:hAnsi="Times New Roman" w:cs="Times New Roman"/>
          <w:i/>
          <w:sz w:val="26"/>
          <w:szCs w:val="26"/>
        </w:rPr>
        <w:t>f.</w:t>
      </w:r>
      <w:r>
        <w:rPr>
          <w:rFonts w:ascii="Times New Roman" w:eastAsia="Times New Roman" w:hAnsi="Times New Roman" w:cs="Times New Roman"/>
          <w:i/>
          <w:sz w:val="26"/>
          <w:szCs w:val="26"/>
        </w:rPr>
        <w:tab/>
        <w:t>If a legal document preparer drafts a document that contains substantive legal statements or arguments, the legal document preparer must maintain adequate records to demonstrate that all research, analysis and legal statements and arguments were developed by the client and provided by the client to the legal document preparer for inclusion in documents prepared by the legal document preparer consistent with the requirements of subsection F(1).</w:t>
      </w:r>
      <w:r>
        <w:rPr>
          <w:rFonts w:ascii="Times New Roman" w:eastAsia="Times New Roman" w:hAnsi="Times New Roman" w:cs="Times New Roman"/>
          <w:sz w:val="26"/>
          <w:szCs w:val="26"/>
        </w:rPr>
        <w:br/>
      </w:r>
    </w:p>
    <w:p w:rsidR="0071711C" w:rsidRDefault="0071711C">
      <w:pPr>
        <w:spacing w:line="240" w:lineRule="auto"/>
        <w:ind w:left="1440" w:right="720" w:hanging="720"/>
        <w:jc w:val="both"/>
        <w:rPr>
          <w:rFonts w:ascii="Times New Roman" w:eastAsia="Times New Roman" w:hAnsi="Times New Roman" w:cs="Times New Roman"/>
          <w:sz w:val="26"/>
          <w:szCs w:val="26"/>
        </w:rPr>
      </w:pPr>
    </w:p>
    <w:p w:rsidR="0071711C" w:rsidRDefault="0071711C">
      <w:pPr>
        <w:spacing w:line="240" w:lineRule="auto"/>
        <w:ind w:left="1440" w:right="720" w:hanging="720"/>
        <w:jc w:val="both"/>
        <w:rPr>
          <w:rFonts w:ascii="Times New Roman" w:eastAsia="Times New Roman" w:hAnsi="Times New Roman" w:cs="Times New Roman"/>
          <w:sz w:val="26"/>
          <w:szCs w:val="26"/>
        </w:rPr>
      </w:pPr>
    </w:p>
    <w:p w:rsidR="00F3540B" w:rsidRDefault="0071711C">
      <w:pPr>
        <w:spacing w:line="480" w:lineRule="auto"/>
        <w:jc w:val="center"/>
        <w:rPr>
          <w:rFonts w:ascii="Times New Roman" w:eastAsia="Times New Roman" w:hAnsi="Times New Roman" w:cs="Times New Roman"/>
          <w:b/>
          <w:sz w:val="26"/>
          <w:szCs w:val="26"/>
          <w:u w:val="single"/>
        </w:rPr>
      </w:pPr>
      <w:r>
        <w:rPr>
          <w:rFonts w:ascii="Times New Roman" w:eastAsia="Times New Roman" w:hAnsi="Times New Roman" w:cs="Times New Roman"/>
          <w:b/>
          <w:sz w:val="26"/>
          <w:szCs w:val="26"/>
        </w:rPr>
        <w:lastRenderedPageBreak/>
        <w:t>II.</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u w:val="single"/>
        </w:rPr>
        <w:t>Objection</w:t>
      </w:r>
    </w:p>
    <w:p w:rsidR="00F3540B" w:rsidRDefault="0071711C" w:rsidP="0071711C">
      <w:pPr>
        <w:spacing w:line="48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This comment makes four primary objections to the proposed amendments to ACJA § 7-208(J)(3).  First, the proposed amendments do not promote access to justice.  Second, the proponents of the amendments have not shown any justification for the amendments.  Third, the conduct proposed to be prohibited is actually contemplated by ACJA § 7-208.  Finally, the proposed amendments are unconstitutionally vague and overbroad and likely to lead to troubling interpretations and prosecution of otherwise law-abiding CLDPs.  For the reasons stated above and argued in more detail below, the proposed amendments to ACJA § 7-208(J)(3) must be rejected.</w:t>
      </w:r>
    </w:p>
    <w:p w:rsidR="00F3540B" w:rsidRDefault="0071711C">
      <w:pPr>
        <w:spacing w:line="48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The Proposed Amendments Run Contrary to the </w:t>
      </w:r>
    </w:p>
    <w:p w:rsidR="00F3540B" w:rsidRDefault="0071711C">
      <w:pPr>
        <w:spacing w:line="48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Purpose For Which ACJA § 7-208 Was Enacted.</w:t>
      </w:r>
    </w:p>
    <w:p w:rsidR="00F3540B" w:rsidRDefault="0071711C">
      <w:pPr>
        <w:spacing w:line="48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ab/>
      </w:r>
      <w:r>
        <w:rPr>
          <w:rFonts w:ascii="Times New Roman" w:eastAsia="Times New Roman" w:hAnsi="Times New Roman" w:cs="Times New Roman"/>
          <w:sz w:val="26"/>
          <w:szCs w:val="26"/>
        </w:rPr>
        <w:t xml:space="preserve">ACJA § 7-208(C) states, in part “The court recognizes . . . that the need to protect the public from possible harm caused by nonlawyers providing legal services must be balanced against the public’s need for access to legal services.”  This simple statement effectively summarizes the reasoning behind the formation of the Certified Legal Document Preparer Certification.  Specifically, the public (or, “Consumer”) needs access to more affordable legal services, but the Consumer also needs to be protected from the potential harm caused by nonlawyers providing legal services.  </w:t>
      </w:r>
    </w:p>
    <w:p w:rsidR="00F3540B" w:rsidRDefault="0071711C">
      <w:pPr>
        <w:spacing w:line="48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As such, any amendment to ACJA § 7-208 must first pass the test articulated in Subsection C: </w:t>
      </w:r>
      <w:r>
        <w:rPr>
          <w:rFonts w:ascii="Times New Roman" w:eastAsia="Times New Roman" w:hAnsi="Times New Roman" w:cs="Times New Roman"/>
          <w:b/>
          <w:sz w:val="26"/>
          <w:szCs w:val="26"/>
          <w:u w:val="single"/>
        </w:rPr>
        <w:t>Does the proposed amendment maintain the necessary balance between the Consumer’s access to affordable legal services and protection of the public?</w:t>
      </w:r>
      <w:r>
        <w:rPr>
          <w:rFonts w:ascii="Times New Roman" w:eastAsia="Times New Roman" w:hAnsi="Times New Roman" w:cs="Times New Roman"/>
          <w:sz w:val="26"/>
          <w:szCs w:val="26"/>
        </w:rPr>
        <w:t xml:space="preserve">  When applying this test to the proposed amendments to ACJA § 7-208(J)(3), it </w:t>
      </w:r>
      <w:r>
        <w:rPr>
          <w:rFonts w:ascii="Times New Roman" w:eastAsia="Times New Roman" w:hAnsi="Times New Roman" w:cs="Times New Roman"/>
          <w:sz w:val="26"/>
          <w:szCs w:val="26"/>
        </w:rPr>
        <w:lastRenderedPageBreak/>
        <w:t>fails spectacularly.  Specifically, the proposed ACJA § 7-208(J)(3)(e)-(f) 1) run contrary to the public policy of promoting equal access to justice, 2) do not have sufficient justification for the protection of the Consumer, 3) prohibit conduct originally contemplated by ACJA § 7-208 and its drafters, and 4) are unconstitutionally vague and overbroad.</w:t>
      </w:r>
    </w:p>
    <w:p w:rsidR="00F3540B" w:rsidRDefault="0071711C">
      <w:pPr>
        <w:spacing w:line="480" w:lineRule="auto"/>
        <w:ind w:left="720" w:hanging="720"/>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b/>
          <w:sz w:val="26"/>
          <w:szCs w:val="26"/>
        </w:rPr>
        <w:t>I.</w:t>
      </w:r>
      <w:r>
        <w:rPr>
          <w:rFonts w:ascii="Times New Roman" w:eastAsia="Times New Roman" w:hAnsi="Times New Roman" w:cs="Times New Roman"/>
          <w:b/>
          <w:sz w:val="26"/>
          <w:szCs w:val="26"/>
        </w:rPr>
        <w:tab/>
        <w:t>The Public Policy Supporting Equal Access to Justice.</w:t>
      </w:r>
    </w:p>
    <w:p w:rsidR="00F3540B" w:rsidRDefault="0071711C">
      <w:pPr>
        <w:spacing w:line="48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At the risk of stating the obvious, lawyers are often prohibitively expensive.  As a result, litigants resort to representing themselves </w:t>
      </w:r>
      <w:r>
        <w:rPr>
          <w:rFonts w:ascii="Times New Roman" w:eastAsia="Times New Roman" w:hAnsi="Times New Roman" w:cs="Times New Roman"/>
          <w:i/>
          <w:sz w:val="26"/>
          <w:szCs w:val="26"/>
        </w:rPr>
        <w:t>in propria persona</w:t>
      </w:r>
      <w:r>
        <w:rPr>
          <w:rFonts w:ascii="Times New Roman" w:eastAsia="Times New Roman" w:hAnsi="Times New Roman" w:cs="Times New Roman"/>
          <w:sz w:val="26"/>
          <w:szCs w:val="26"/>
        </w:rPr>
        <w:t>, or in other words, without an attorney to represent them.  In fact, arguably the most comprehensive study on the issue unrepresented litigants took place in Maricopa County in the 1990s and found that as many as eighty-eight percent (88%) of family court cases in Maricopa County have at least one unrepresented party.</w:t>
      </w:r>
      <w:r>
        <w:rPr>
          <w:rFonts w:ascii="Times New Roman" w:eastAsia="Times New Roman" w:hAnsi="Times New Roman" w:cs="Times New Roman"/>
          <w:sz w:val="26"/>
          <w:szCs w:val="26"/>
          <w:vertAlign w:val="superscript"/>
        </w:rPr>
        <w:footnoteReference w:id="1"/>
      </w:r>
      <w:r>
        <w:rPr>
          <w:rFonts w:ascii="Times New Roman" w:eastAsia="Times New Roman" w:hAnsi="Times New Roman" w:cs="Times New Roman"/>
          <w:sz w:val="26"/>
          <w:szCs w:val="26"/>
        </w:rPr>
        <w:t xml:space="preserve">  This percentage is consistent in many jurisdictions.</w:t>
      </w:r>
      <w:r>
        <w:rPr>
          <w:rFonts w:ascii="Times New Roman" w:eastAsia="Times New Roman" w:hAnsi="Times New Roman" w:cs="Times New Roman"/>
          <w:sz w:val="26"/>
          <w:szCs w:val="26"/>
          <w:vertAlign w:val="superscript"/>
        </w:rPr>
        <w:footnoteReference w:id="2"/>
      </w:r>
      <w:r>
        <w:rPr>
          <w:rFonts w:ascii="Times New Roman" w:eastAsia="Times New Roman" w:hAnsi="Times New Roman" w:cs="Times New Roman"/>
          <w:sz w:val="26"/>
          <w:szCs w:val="26"/>
        </w:rPr>
        <w:t xml:space="preserve">  Indeed, Maricopa County acknowledged this issue and in response adopted access to justice as its #1 Strategic Focus Area.</w:t>
      </w:r>
      <w:r>
        <w:rPr>
          <w:rFonts w:ascii="Times New Roman" w:eastAsia="Times New Roman" w:hAnsi="Times New Roman" w:cs="Times New Roman"/>
          <w:sz w:val="26"/>
          <w:szCs w:val="26"/>
          <w:vertAlign w:val="superscript"/>
        </w:rPr>
        <w:footnoteReference w:id="3"/>
      </w:r>
      <w:r>
        <w:rPr>
          <w:rFonts w:ascii="Times New Roman" w:eastAsia="Times New Roman" w:hAnsi="Times New Roman" w:cs="Times New Roman"/>
          <w:sz w:val="26"/>
          <w:szCs w:val="26"/>
        </w:rPr>
        <w:t xml:space="preserve">  </w:t>
      </w:r>
    </w:p>
    <w:p w:rsidR="00F3540B" w:rsidRDefault="0071711C">
      <w:pPr>
        <w:spacing w:line="48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While other states across the country have been slow to implement plans to address the epidemic of lack of access to civil justice, Maricopa County and Arizona have been national leaders in this area.  Between its adoption of ACJA § 7-208 and its focus on access to justice as a Strategic Focus Area,</w:t>
      </w:r>
      <w:r>
        <w:rPr>
          <w:rFonts w:ascii="Times New Roman" w:eastAsia="Times New Roman" w:hAnsi="Times New Roman" w:cs="Times New Roman"/>
          <w:sz w:val="26"/>
          <w:szCs w:val="26"/>
          <w:vertAlign w:val="superscript"/>
        </w:rPr>
        <w:footnoteReference w:id="4"/>
      </w:r>
      <w:r>
        <w:rPr>
          <w:rFonts w:ascii="Times New Roman" w:eastAsia="Times New Roman" w:hAnsi="Times New Roman" w:cs="Times New Roman"/>
          <w:sz w:val="26"/>
          <w:szCs w:val="26"/>
        </w:rPr>
        <w:t xml:space="preserve">  Arizona is the “tip of the spear” for access to civil justice.  As of 2016, Arizona is one of only five states to enact a CLDP program (or similar).</w:t>
      </w:r>
      <w:r>
        <w:rPr>
          <w:rFonts w:ascii="Times New Roman" w:eastAsia="Times New Roman" w:hAnsi="Times New Roman" w:cs="Times New Roman"/>
          <w:sz w:val="26"/>
          <w:szCs w:val="26"/>
          <w:vertAlign w:val="superscript"/>
        </w:rPr>
        <w:footnoteReference w:id="5"/>
      </w:r>
      <w:r>
        <w:rPr>
          <w:rFonts w:ascii="Times New Roman" w:eastAsia="Times New Roman" w:hAnsi="Times New Roman" w:cs="Times New Roman"/>
          <w:sz w:val="26"/>
          <w:szCs w:val="26"/>
        </w:rPr>
        <w:t xml:space="preserve">  As such, Arizona should be seeking to find additional ways to promote access to civil justice.  Unfortunately, by proposing the pending amendments, the Board will effectively “turn back the clock” on the progress made by Arizona in providing affordable access to our legal system.</w:t>
      </w:r>
    </w:p>
    <w:p w:rsidR="00F3540B" w:rsidRDefault="0071711C">
      <w:pPr>
        <w:spacing w:line="48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By prohibiting CLDPs from “performing legal research”, or citing to “statutes . . . substantive legal statements or arguments” unless “developed and provided by the client”, CLDPs who work in a wide variety of areas will be forced to turn people away or even shutter their doors for fear of violating ACJA § 7-208(J)(3)(e)-(f).  As discussed in more detail in Section (A)(II) below, the Board has not demonstrated that CLDPs who provide these services to their customers have harmed the public in any meaningful way, especially when compared to the immeasurable benefit provided to low-income Consumers who would otherwise have no assistance at all.</w:t>
      </w:r>
    </w:p>
    <w:p w:rsidR="00F3540B" w:rsidRDefault="0071711C">
      <w:pPr>
        <w:spacing w:line="48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For the foregoing reasons alone, the proposed amendments to ACJA § 7-208(J)(3) should be rejected.</w:t>
      </w:r>
    </w:p>
    <w:p w:rsidR="00F3540B" w:rsidRDefault="0071711C">
      <w:pPr>
        <w:spacing w:line="480" w:lineRule="auto"/>
        <w:ind w:left="1440" w:hanging="72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II.</w:t>
      </w:r>
      <w:r>
        <w:rPr>
          <w:rFonts w:ascii="Times New Roman" w:eastAsia="Times New Roman" w:hAnsi="Times New Roman" w:cs="Times New Roman"/>
          <w:b/>
          <w:sz w:val="26"/>
          <w:szCs w:val="26"/>
        </w:rPr>
        <w:tab/>
        <w:t>No Evidence has been Submitted to Show that the Proposed Amendments are Necessary to Protect the Consumer.</w:t>
      </w:r>
    </w:p>
    <w:p w:rsidR="00F3540B" w:rsidRDefault="0071711C">
      <w:pPr>
        <w:spacing w:line="48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The second half of the balancing test adopted by ACJA § 7-208(C) is that the Arizona Supreme Court affirms that it has an interest in protecting Consumers from non-lawyers engaging in the practice of law.  As explained above, this interest is balanced with the overarching policy of providing the Consumer with access to civil justice.  However, in the case of the proposed amendments to ACJA § 7-208(J)(3), there is no justification stated, nor evidence presented that that there is harm to be prevented by the significant restrictions included in ACJA § 7-208(J)(3)(e)-(f).  In fact, the available evidence shows the contrary.</w:t>
      </w:r>
    </w:p>
    <w:p w:rsidR="00F3540B" w:rsidRDefault="0071711C">
      <w:pPr>
        <w:spacing w:line="48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In 2001, the Arizona State Bar attempted to pass over-broad and sweeping changes Arizona Unauthorized Practice of Law Statute in an effort to effectively put CLDPs out of business.  In support of their proposed changes, the State Bar alleged that it had received 400 complaints alleging consumer harm at the hands of non-lawyers.   At the time, the Institute for Justice Arizona Chapter analyzed the State Bar’s claims and made incredible findings.  Specifically, of the 378 complaints (not 400 as alleged) received by the State Bar, “only 11 complaints were filed by a consumer against an independent paralegal/document preparer.”  Less than three percent (3%) of the complaints received by the bar alleging consumer harm at the hands of non-lawyers were actually from consumers against document preparers.</w:t>
      </w:r>
    </w:p>
    <w:p w:rsidR="00F3540B" w:rsidRDefault="0071711C">
      <w:pPr>
        <w:spacing w:line="48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Here is the point.  ACJA § 7-208(C) requires that when the Supreme Court of Arizona is to inhibit the Consumer’s access to civil justice (which the proposed amendments unquestionably do), it may only do so to the extent necessary to balance the harm inflicted on Consumers.  If the harm cannot be demonstrated, the proposed restrictions must fail.</w:t>
      </w:r>
    </w:p>
    <w:p w:rsidR="00F3540B" w:rsidRDefault="0071711C">
      <w:pPr>
        <w:spacing w:line="480" w:lineRule="auto"/>
        <w:ind w:left="1440" w:hanging="72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III.</w:t>
      </w:r>
      <w:r>
        <w:rPr>
          <w:rFonts w:ascii="Times New Roman" w:eastAsia="Times New Roman" w:hAnsi="Times New Roman" w:cs="Times New Roman"/>
          <w:b/>
          <w:sz w:val="26"/>
          <w:szCs w:val="26"/>
        </w:rPr>
        <w:tab/>
        <w:t>The Conduct Sought to be Prohibited is Contemplated by the Rules.</w:t>
      </w:r>
    </w:p>
    <w:p w:rsidR="00F3540B" w:rsidRDefault="0071711C">
      <w:pPr>
        <w:spacing w:line="480" w:lineRule="auto"/>
        <w:ind w:left="2160" w:hanging="72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a.</w:t>
      </w:r>
      <w:r>
        <w:rPr>
          <w:rFonts w:ascii="Times New Roman" w:eastAsia="Times New Roman" w:hAnsi="Times New Roman" w:cs="Times New Roman"/>
          <w:b/>
          <w:sz w:val="26"/>
          <w:szCs w:val="26"/>
        </w:rPr>
        <w:tab/>
        <w:t>Authority Granted Under § 7-208.</w:t>
      </w:r>
    </w:p>
    <w:p w:rsidR="00F3540B" w:rsidRDefault="0071711C">
      <w:pPr>
        <w:spacing w:line="48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ab/>
      </w:r>
      <w:r>
        <w:rPr>
          <w:rFonts w:ascii="Times New Roman" w:eastAsia="Times New Roman" w:hAnsi="Times New Roman" w:cs="Times New Roman"/>
          <w:sz w:val="26"/>
          <w:szCs w:val="26"/>
        </w:rPr>
        <w:t xml:space="preserve">ACJA § 7-208(F)(1), titled “Authorized Services”, states that “A certified legal document preparer is authorized to: (1) Prepare or provide legal documents, without the supervision of an attorney, for an entity or member of the public </w:t>
      </w:r>
      <w:r>
        <w:rPr>
          <w:rFonts w:ascii="Times New Roman" w:eastAsia="Times New Roman" w:hAnsi="Times New Roman" w:cs="Times New Roman"/>
          <w:i/>
          <w:sz w:val="26"/>
          <w:szCs w:val="26"/>
        </w:rPr>
        <w:t>in any legal matter</w:t>
      </w:r>
      <w:r>
        <w:rPr>
          <w:rFonts w:ascii="Times New Roman" w:eastAsia="Times New Roman" w:hAnsi="Times New Roman" w:cs="Times New Roman"/>
          <w:sz w:val="26"/>
          <w:szCs w:val="26"/>
        </w:rPr>
        <w:t xml:space="preserve"> when that entity or person is not represented by an attorney.” (emphasis added).  Subsection (F)(1) is </w:t>
      </w:r>
      <w:r>
        <w:rPr>
          <w:rFonts w:ascii="Times New Roman" w:eastAsia="Times New Roman" w:hAnsi="Times New Roman" w:cs="Times New Roman"/>
          <w:i/>
          <w:sz w:val="26"/>
          <w:szCs w:val="26"/>
        </w:rPr>
        <w:t xml:space="preserve">inclusive </w:t>
      </w:r>
      <w:r>
        <w:rPr>
          <w:rFonts w:ascii="Times New Roman" w:eastAsia="Times New Roman" w:hAnsi="Times New Roman" w:cs="Times New Roman"/>
          <w:sz w:val="26"/>
          <w:szCs w:val="26"/>
        </w:rPr>
        <w:t xml:space="preserve">with its terminology, not </w:t>
      </w:r>
      <w:r>
        <w:rPr>
          <w:rFonts w:ascii="Times New Roman" w:eastAsia="Times New Roman" w:hAnsi="Times New Roman" w:cs="Times New Roman"/>
          <w:i/>
          <w:sz w:val="26"/>
          <w:szCs w:val="26"/>
        </w:rPr>
        <w:t>exclusive</w:t>
      </w:r>
      <w:r>
        <w:rPr>
          <w:rFonts w:ascii="Times New Roman" w:eastAsia="Times New Roman" w:hAnsi="Times New Roman" w:cs="Times New Roman"/>
          <w:sz w:val="26"/>
          <w:szCs w:val="26"/>
        </w:rPr>
        <w:t xml:space="preserve">.  Meaning, it does not designate certain legal matters that CLDPs may prepare under Rule 31 or ACJA § 7-208.  Instead, the grant of authority is § 7-208 defines broadly that CLDPs may prepare legal documents in </w:t>
      </w:r>
      <w:r>
        <w:rPr>
          <w:rFonts w:ascii="Times New Roman" w:eastAsia="Times New Roman" w:hAnsi="Times New Roman" w:cs="Times New Roman"/>
          <w:i/>
          <w:sz w:val="26"/>
          <w:szCs w:val="26"/>
        </w:rPr>
        <w:t>any legal matter</w:t>
      </w:r>
      <w:r>
        <w:rPr>
          <w:rFonts w:ascii="Times New Roman" w:eastAsia="Times New Roman" w:hAnsi="Times New Roman" w:cs="Times New Roman"/>
          <w:sz w:val="26"/>
          <w:szCs w:val="26"/>
        </w:rPr>
        <w:t>.</w:t>
      </w:r>
    </w:p>
    <w:p w:rsidR="00F3540B" w:rsidRDefault="0071711C">
      <w:pPr>
        <w:spacing w:line="48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The proposed amendments to ACJA § 7-208(J)(3) seek to arbitrarily and without justification limit a CLDP’s ability to prepare legal documents in “any legal matter” by prohibiting a CLDP from researching and citing to statutes or cases.  By prohibiting these historically integral tasks by CLDPs, Arizona is redefining the role of CLDPs in Arizona </w:t>
      </w:r>
      <w:r>
        <w:rPr>
          <w:rFonts w:ascii="Times New Roman" w:eastAsia="Times New Roman" w:hAnsi="Times New Roman" w:cs="Times New Roman"/>
          <w:sz w:val="26"/>
          <w:szCs w:val="26"/>
        </w:rPr>
        <w:lastRenderedPageBreak/>
        <w:t>and running afoul of the language used in the very regulation the amendments seek to change.</w:t>
      </w:r>
      <w:r>
        <w:rPr>
          <w:rFonts w:ascii="Times New Roman" w:eastAsia="Times New Roman" w:hAnsi="Times New Roman" w:cs="Times New Roman"/>
          <w:sz w:val="26"/>
          <w:szCs w:val="26"/>
          <w:vertAlign w:val="superscript"/>
        </w:rPr>
        <w:footnoteReference w:id="6"/>
      </w:r>
    </w:p>
    <w:p w:rsidR="00F3540B" w:rsidRDefault="0071711C">
      <w:pPr>
        <w:spacing w:line="480" w:lineRule="auto"/>
        <w:ind w:left="2160" w:hanging="72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b.</w:t>
      </w:r>
      <w:r>
        <w:rPr>
          <w:rFonts w:ascii="Times New Roman" w:eastAsia="Times New Roman" w:hAnsi="Times New Roman" w:cs="Times New Roman"/>
          <w:b/>
          <w:sz w:val="26"/>
          <w:szCs w:val="26"/>
        </w:rPr>
        <w:tab/>
        <w:t>ACJA § 7-208(L)(4)(a)(4) Contemplates the Conduct Sought to be Prohibited.</w:t>
      </w:r>
    </w:p>
    <w:p w:rsidR="00F3540B" w:rsidRDefault="0071711C">
      <w:pPr>
        <w:spacing w:line="48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ab/>
      </w:r>
      <w:r>
        <w:rPr>
          <w:rFonts w:ascii="Times New Roman" w:eastAsia="Times New Roman" w:hAnsi="Times New Roman" w:cs="Times New Roman"/>
          <w:sz w:val="26"/>
          <w:szCs w:val="26"/>
        </w:rPr>
        <w:t xml:space="preserve">ACJA § 7-208(L) defines the continuing education policy for CLDPs.  Under subsection 1, entitled “Purpose”, the policy states that “Ongoing continuing education (“CE”) is one method to ensure legal document preparers maintain competence in the field after certification is obtained.”  Further, subsection 4(a) states that authorized continuing education activities “shall address the areas of proficiency, competency, and performance of legal documentation . . . and </w:t>
      </w:r>
      <w:r>
        <w:rPr>
          <w:rFonts w:ascii="Times New Roman" w:eastAsia="Times New Roman" w:hAnsi="Times New Roman" w:cs="Times New Roman"/>
          <w:b/>
          <w:i/>
          <w:sz w:val="26"/>
          <w:szCs w:val="26"/>
        </w:rPr>
        <w:t>increase the participant’s understanding of the responsibilities of a certified legal document preparer</w:t>
      </w:r>
      <w:r>
        <w:rPr>
          <w:rFonts w:ascii="Times New Roman" w:eastAsia="Times New Roman" w:hAnsi="Times New Roman" w:cs="Times New Roman"/>
          <w:sz w:val="26"/>
          <w:szCs w:val="26"/>
        </w:rPr>
        <w:t>.”  Among the items included in the CLDP’s areas of “proficiency, competency and responsibilities” are “Research skills including utilizing reference materials and libraries and research techniques.”</w:t>
      </w:r>
    </w:p>
    <w:p w:rsidR="00F3540B" w:rsidRDefault="0071711C">
      <w:pPr>
        <w:spacing w:line="48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It is abundantly clear that when ACJA § 7-208 was drafted, among the responsibilities and functions  of a CLDP as contemplated by the Supreme Court and the parties involved in the creation of the CLDP certification is a proficiency in legal research.  By prohibiting the very functions contemplated by other sections of ACJA § 7-208, the proposed amendments create a contradiction in the law at the very least and a fundamental change in the intended role of a CLDP at the worst.  For this reason, the proposed amendments must be rejected.</w:t>
      </w:r>
    </w:p>
    <w:p w:rsidR="00F3540B" w:rsidRDefault="0071711C">
      <w:pPr>
        <w:spacing w:line="480" w:lineRule="auto"/>
        <w:ind w:left="2160" w:hanging="72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c.</w:t>
      </w:r>
      <w:r>
        <w:rPr>
          <w:rFonts w:ascii="Times New Roman" w:eastAsia="Times New Roman" w:hAnsi="Times New Roman" w:cs="Times New Roman"/>
          <w:b/>
          <w:sz w:val="26"/>
          <w:szCs w:val="26"/>
        </w:rPr>
        <w:tab/>
        <w:t>UPL Opinions Permit CLDPs to do more than just “fill in the blank”.</w:t>
      </w:r>
    </w:p>
    <w:p w:rsidR="00F3540B" w:rsidRDefault="0071711C">
      <w:pPr>
        <w:spacing w:line="48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The State Bar of Arizona has issued a series of Advisory Opinions concerning the limits of CLDPs in preparing legal documents on behalf of customers.  The proposed amendments to ACJA § 7-208(J)(3) seek to constrain CLDPs further than the Arizona Bar has found appropriate.  Indeed, the Arizona Bar acknowledges that CLDPs are permitted to perform services that would otherwise be considered the practice of law.</w:t>
      </w:r>
    </w:p>
    <w:p w:rsidR="00F3540B" w:rsidRDefault="0071711C">
      <w:pPr>
        <w:spacing w:line="48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Specifically, UPL ADVISORY OPINION 04-02 found that CLDPs may draft late payment notices, demand letters seeking payment of rent or association fees, and eviction notices relating to the property being managed.  Legal Document Preparers may also record liens relating to the property being managed.  </w:t>
      </w:r>
    </w:p>
    <w:p w:rsidR="00F3540B" w:rsidRDefault="0071711C">
      <w:pPr>
        <w:spacing w:line="48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Interpreting Rule 31, the Arizona State Bar stated that under Rule 31(a)(2)(A)(1), preparing eviction notices or late payment notices constitutes the practice of law.  The State Bar then goes on to conclude (correctly) that ACJA § 7-208(F)(1)(a) permits such practice by a CLDP because a CLDP may “(a) </w:t>
      </w:r>
      <w:r>
        <w:rPr>
          <w:rFonts w:ascii="Times New Roman" w:eastAsia="Times New Roman" w:hAnsi="Times New Roman" w:cs="Times New Roman"/>
          <w:b/>
          <w:i/>
          <w:sz w:val="26"/>
          <w:szCs w:val="26"/>
        </w:rPr>
        <w:t>Prepare or provide legal documents</w:t>
      </w:r>
      <w:r>
        <w:rPr>
          <w:rFonts w:ascii="Times New Roman" w:eastAsia="Times New Roman" w:hAnsi="Times New Roman" w:cs="Times New Roman"/>
          <w:sz w:val="26"/>
          <w:szCs w:val="26"/>
        </w:rPr>
        <w:t xml:space="preserve">, without the supervision of an attorney, for an entity or a member of the public in </w:t>
      </w:r>
      <w:r>
        <w:rPr>
          <w:rFonts w:ascii="Times New Roman" w:eastAsia="Times New Roman" w:hAnsi="Times New Roman" w:cs="Times New Roman"/>
          <w:b/>
          <w:i/>
          <w:sz w:val="26"/>
          <w:szCs w:val="26"/>
        </w:rPr>
        <w:t>any legal matter</w:t>
      </w:r>
      <w:r>
        <w:rPr>
          <w:rFonts w:ascii="Times New Roman" w:eastAsia="Times New Roman" w:hAnsi="Times New Roman" w:cs="Times New Roman"/>
          <w:sz w:val="26"/>
          <w:szCs w:val="26"/>
        </w:rPr>
        <w:t xml:space="preserve"> when that entity or person is not represented by an attorney.” (emphasis added).  This permission includes documents that when prepared for another person or entity would otherwise constitute the practice of law.</w:t>
      </w:r>
    </w:p>
    <w:p w:rsidR="00F3540B" w:rsidRDefault="0071711C">
      <w:pPr>
        <w:spacing w:line="48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In addition, the State Bar found under the same reasoning, that a CLDP may </w:t>
      </w:r>
      <w:r>
        <w:rPr>
          <w:rFonts w:ascii="Times New Roman" w:eastAsia="Times New Roman" w:hAnsi="Times New Roman" w:cs="Times New Roman"/>
          <w:b/>
          <w:i/>
          <w:sz w:val="26"/>
          <w:szCs w:val="26"/>
        </w:rPr>
        <w:t>prepare and record liens against real property</w:t>
      </w:r>
      <w:r>
        <w:rPr>
          <w:rFonts w:ascii="Times New Roman" w:eastAsia="Times New Roman" w:hAnsi="Times New Roman" w:cs="Times New Roman"/>
          <w:sz w:val="26"/>
          <w:szCs w:val="26"/>
        </w:rPr>
        <w:t xml:space="preserve"> on behalf of a management company.  Again, preparing these documents on behalf of another person or entity would otherwise </w:t>
      </w:r>
      <w:r>
        <w:rPr>
          <w:rFonts w:ascii="Times New Roman" w:eastAsia="Times New Roman" w:hAnsi="Times New Roman" w:cs="Times New Roman"/>
          <w:sz w:val="26"/>
          <w:szCs w:val="26"/>
        </w:rPr>
        <w:lastRenderedPageBreak/>
        <w:t xml:space="preserve">qualify as the practice of law.  But, CLDPs are granted the authority to prepare these documents by virtue of their certification pursuant to ACJA § 7-208(F)(1)(a) and (e).  </w:t>
      </w:r>
    </w:p>
    <w:p w:rsidR="00F3540B" w:rsidRDefault="0071711C">
      <w:pPr>
        <w:spacing w:line="48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Similarly, UPL ADVISORY OPINION 04-01 found that CLDPs may prepare, serve, and record mechanic’s lien notices for contractors.  While the preparation, service and recording of mechanic’s liens is considered the practice of law.  ACJA § 7-208(F)(1)(a), CLDPs are granted the authority to practice law for documents of this type.</w:t>
      </w:r>
    </w:p>
    <w:p w:rsidR="00F3540B" w:rsidRDefault="0071711C">
      <w:pPr>
        <w:spacing w:line="48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The documents contemplated by UPL 04-01 and 04-02 require, among other things, citation to statutes, and in some instances, case law.  Under the proposed amendments to ACJA § 7-208(J)(3), documents which have been authorized by the State Bar of Arizona to be prepared by CLDPs would suddenly become dangerous territory, requiring specific records to be kept by the CLDP showing that any statutes and law cited in the documents came directly from the customer for fear of prosecution by the Arizona Supreme Court.  This standard is both unrealistic and counter to the prevailing public policy adopted by this state and the State Bar of Arizona.</w:t>
      </w:r>
    </w:p>
    <w:p w:rsidR="00F3540B" w:rsidRDefault="0071711C">
      <w:pPr>
        <w:spacing w:line="480" w:lineRule="auto"/>
        <w:ind w:left="1440" w:hanging="72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IV.</w:t>
      </w:r>
      <w:r>
        <w:rPr>
          <w:rFonts w:ascii="Times New Roman" w:eastAsia="Times New Roman" w:hAnsi="Times New Roman" w:cs="Times New Roman"/>
          <w:b/>
          <w:sz w:val="26"/>
          <w:szCs w:val="26"/>
        </w:rPr>
        <w:tab/>
        <w:t>The Proposed Amendments are Vague and Overbroad and Violate the Due Process Clause of the United States Constitution.</w:t>
      </w:r>
    </w:p>
    <w:p w:rsidR="00F3540B" w:rsidRDefault="0071711C">
      <w:pPr>
        <w:spacing w:line="48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Due process requires that enacted prohibitions be clearly defined, otherwise they are void for vagueness.</w:t>
      </w:r>
      <w:r>
        <w:rPr>
          <w:rFonts w:ascii="Times New Roman" w:eastAsia="Times New Roman" w:hAnsi="Times New Roman" w:cs="Times New Roman"/>
          <w:sz w:val="26"/>
          <w:szCs w:val="26"/>
          <w:vertAlign w:val="superscript"/>
        </w:rPr>
        <w:footnoteReference w:id="7"/>
      </w:r>
      <w:r>
        <w:rPr>
          <w:rFonts w:ascii="Times New Roman" w:eastAsia="Times New Roman" w:hAnsi="Times New Roman" w:cs="Times New Roman"/>
          <w:sz w:val="26"/>
          <w:szCs w:val="26"/>
        </w:rPr>
        <w:t xml:space="preserve">  Vague prohibitions of conduct entrap the innocent and expose them to arbitrary enforcement of the same.  In </w:t>
      </w:r>
      <w:r>
        <w:rPr>
          <w:rFonts w:ascii="Times New Roman" w:eastAsia="Times New Roman" w:hAnsi="Times New Roman" w:cs="Times New Roman"/>
          <w:i/>
          <w:sz w:val="26"/>
          <w:szCs w:val="26"/>
        </w:rPr>
        <w:t>Grayned</w:t>
      </w:r>
      <w:r>
        <w:rPr>
          <w:rFonts w:ascii="Times New Roman" w:eastAsia="Times New Roman" w:hAnsi="Times New Roman" w:cs="Times New Roman"/>
          <w:sz w:val="26"/>
          <w:szCs w:val="26"/>
        </w:rPr>
        <w:t>, the United State Supreme Court identified the dangers of vague laws as follows:</w:t>
      </w:r>
    </w:p>
    <w:p w:rsidR="00F3540B" w:rsidRDefault="0071711C">
      <w:pPr>
        <w:spacing w:line="240" w:lineRule="auto"/>
        <w:ind w:left="720"/>
        <w:jc w:val="both"/>
        <w:rPr>
          <w:rFonts w:ascii="Times New Roman" w:eastAsia="Times New Roman" w:hAnsi="Times New Roman" w:cs="Times New Roman"/>
          <w:i/>
          <w:color w:val="373739"/>
          <w:sz w:val="21"/>
          <w:szCs w:val="21"/>
          <w:highlight w:val="white"/>
        </w:rPr>
      </w:pPr>
      <w:r>
        <w:rPr>
          <w:rFonts w:ascii="Times New Roman" w:eastAsia="Times New Roman" w:hAnsi="Times New Roman" w:cs="Times New Roman"/>
          <w:color w:val="373739"/>
          <w:sz w:val="26"/>
          <w:szCs w:val="26"/>
          <w:highlight w:val="white"/>
        </w:rPr>
        <w:lastRenderedPageBreak/>
        <w:t xml:space="preserve">Vague laws offend several important values. First, because we assume that man is free to steer between lawful and unlawful conduct, we insist that laws give the person of ordinary intelligence a reasonable opportunity to know what is prohibited, so that he may act accordingly. Vague laws may trap the innocent by not providing fair warning.  Second, if arbitrary and discriminatory enforcement is to be prevented, laws must provide explicit standards for those who apply them. A vague law impermissibly delegates basic policy matters to policemen, judges, and juries for resolution on an </w:t>
      </w:r>
      <w:r>
        <w:rPr>
          <w:rFonts w:ascii="Times New Roman" w:eastAsia="Times New Roman" w:hAnsi="Times New Roman" w:cs="Times New Roman"/>
          <w:i/>
          <w:color w:val="373739"/>
          <w:sz w:val="26"/>
          <w:szCs w:val="26"/>
          <w:highlight w:val="white"/>
        </w:rPr>
        <w:t>ad hoc</w:t>
      </w:r>
      <w:r>
        <w:rPr>
          <w:rFonts w:ascii="Times New Roman" w:eastAsia="Times New Roman" w:hAnsi="Times New Roman" w:cs="Times New Roman"/>
          <w:color w:val="373739"/>
          <w:sz w:val="26"/>
          <w:szCs w:val="26"/>
          <w:highlight w:val="white"/>
        </w:rPr>
        <w:t xml:space="preserve"> and subjective basis, with the attendant dangers of arbitrary and discriminatory application.</w:t>
      </w:r>
      <w:r>
        <w:rPr>
          <w:rFonts w:ascii="Times New Roman" w:eastAsia="Times New Roman" w:hAnsi="Times New Roman" w:cs="Times New Roman"/>
          <w:color w:val="373739"/>
          <w:sz w:val="26"/>
          <w:szCs w:val="26"/>
          <w:highlight w:val="white"/>
          <w:vertAlign w:val="superscript"/>
        </w:rPr>
        <w:footnoteReference w:id="8"/>
      </w:r>
      <w:r>
        <w:rPr>
          <w:rFonts w:ascii="Times New Roman" w:eastAsia="Times New Roman" w:hAnsi="Times New Roman" w:cs="Times New Roman"/>
          <w:color w:val="373739"/>
          <w:sz w:val="26"/>
          <w:szCs w:val="26"/>
          <w:highlight w:val="white"/>
        </w:rPr>
        <w:t xml:space="preserve"> </w:t>
      </w:r>
    </w:p>
    <w:p w:rsidR="00F3540B" w:rsidRDefault="00F3540B">
      <w:pPr>
        <w:spacing w:line="480" w:lineRule="auto"/>
        <w:jc w:val="both"/>
        <w:rPr>
          <w:rFonts w:ascii="Times New Roman" w:eastAsia="Times New Roman" w:hAnsi="Times New Roman" w:cs="Times New Roman"/>
          <w:i/>
          <w:color w:val="373739"/>
          <w:sz w:val="21"/>
          <w:szCs w:val="21"/>
          <w:highlight w:val="white"/>
        </w:rPr>
      </w:pPr>
    </w:p>
    <w:p w:rsidR="00F3540B" w:rsidRDefault="0071711C">
      <w:pPr>
        <w:spacing w:line="480" w:lineRule="auto"/>
        <w:jc w:val="both"/>
        <w:rPr>
          <w:rFonts w:ascii="Times New Roman" w:eastAsia="Times New Roman" w:hAnsi="Times New Roman" w:cs="Times New Roman"/>
          <w:color w:val="373739"/>
          <w:sz w:val="26"/>
          <w:szCs w:val="26"/>
          <w:highlight w:val="white"/>
        </w:rPr>
      </w:pPr>
      <w:r>
        <w:rPr>
          <w:rFonts w:ascii="Times New Roman" w:eastAsia="Times New Roman" w:hAnsi="Times New Roman" w:cs="Times New Roman"/>
          <w:color w:val="373739"/>
          <w:sz w:val="21"/>
          <w:szCs w:val="21"/>
          <w:highlight w:val="white"/>
        </w:rPr>
        <w:tab/>
      </w:r>
      <w:r>
        <w:rPr>
          <w:rFonts w:ascii="Times New Roman" w:eastAsia="Times New Roman" w:hAnsi="Times New Roman" w:cs="Times New Roman"/>
          <w:color w:val="373739"/>
          <w:sz w:val="26"/>
          <w:szCs w:val="26"/>
          <w:highlight w:val="white"/>
        </w:rPr>
        <w:t>The language of the proposed amendment violates these bedrock principles.  At its core, the proposed amendment prohibits CLDP’s from performing “</w:t>
      </w:r>
      <w:r>
        <w:rPr>
          <w:rFonts w:ascii="Times New Roman" w:eastAsia="Times New Roman" w:hAnsi="Times New Roman" w:cs="Times New Roman"/>
          <w:i/>
          <w:sz w:val="26"/>
          <w:szCs w:val="26"/>
        </w:rPr>
        <w:t>legal research concerning particular statutes, case law or other sources of information concerning legal theory or authority on behalf of a specific client”</w:t>
      </w:r>
      <w:r>
        <w:rPr>
          <w:rFonts w:ascii="Times New Roman" w:eastAsia="Times New Roman" w:hAnsi="Times New Roman" w:cs="Times New Roman"/>
          <w:sz w:val="26"/>
          <w:szCs w:val="26"/>
        </w:rPr>
        <w:t>.  The only limitations placed upon this sweeping general rule are the following two exceptions:  1. “</w:t>
      </w:r>
      <w:r>
        <w:rPr>
          <w:rFonts w:ascii="Times New Roman" w:eastAsia="Times New Roman" w:hAnsi="Times New Roman" w:cs="Times New Roman"/>
          <w:i/>
          <w:sz w:val="26"/>
          <w:szCs w:val="26"/>
        </w:rPr>
        <w:t>performing research to determine the legal document preparer is utilizing the appropriate form”</w:t>
      </w:r>
      <w:r>
        <w:rPr>
          <w:rFonts w:ascii="Times New Roman" w:eastAsia="Times New Roman" w:hAnsi="Times New Roman" w:cs="Times New Roman"/>
          <w:sz w:val="26"/>
          <w:szCs w:val="26"/>
        </w:rPr>
        <w:t>,</w:t>
      </w:r>
      <w:r>
        <w:rPr>
          <w:rFonts w:ascii="Times New Roman" w:eastAsia="Times New Roman" w:hAnsi="Times New Roman" w:cs="Times New Roman"/>
          <w:i/>
          <w:sz w:val="26"/>
          <w:szCs w:val="26"/>
        </w:rPr>
        <w:t xml:space="preserve"> </w:t>
      </w:r>
      <w:r>
        <w:rPr>
          <w:rFonts w:ascii="Times New Roman" w:eastAsia="Times New Roman" w:hAnsi="Times New Roman" w:cs="Times New Roman"/>
          <w:sz w:val="26"/>
          <w:szCs w:val="26"/>
        </w:rPr>
        <w:t>and 2. performing “</w:t>
      </w:r>
      <w:r>
        <w:rPr>
          <w:rFonts w:ascii="Times New Roman" w:eastAsia="Times New Roman" w:hAnsi="Times New Roman" w:cs="Times New Roman"/>
          <w:i/>
          <w:sz w:val="26"/>
          <w:szCs w:val="26"/>
        </w:rPr>
        <w:t>research to develop an understanding of general legal principles when the research is not done on behalf of a specific client.”</w:t>
      </w:r>
    </w:p>
    <w:p w:rsidR="00F3540B" w:rsidRDefault="0071711C">
      <w:pPr>
        <w:spacing w:line="480" w:lineRule="auto"/>
        <w:ind w:firstLine="1440"/>
        <w:jc w:val="both"/>
        <w:rPr>
          <w:rFonts w:ascii="Times New Roman" w:eastAsia="Times New Roman" w:hAnsi="Times New Roman" w:cs="Times New Roman"/>
          <w:color w:val="373739"/>
          <w:sz w:val="26"/>
          <w:szCs w:val="26"/>
          <w:highlight w:val="white"/>
        </w:rPr>
      </w:pPr>
      <w:r>
        <w:rPr>
          <w:rFonts w:ascii="Times New Roman" w:eastAsia="Times New Roman" w:hAnsi="Times New Roman" w:cs="Times New Roman"/>
          <w:b/>
          <w:color w:val="373739"/>
          <w:sz w:val="26"/>
          <w:szCs w:val="26"/>
          <w:highlight w:val="white"/>
        </w:rPr>
        <w:t>a.</w:t>
      </w:r>
      <w:r>
        <w:rPr>
          <w:rFonts w:ascii="Times New Roman" w:eastAsia="Times New Roman" w:hAnsi="Times New Roman" w:cs="Times New Roman"/>
          <w:color w:val="373739"/>
          <w:sz w:val="26"/>
          <w:szCs w:val="26"/>
          <w:highlight w:val="white"/>
        </w:rPr>
        <w:tab/>
      </w:r>
      <w:r>
        <w:rPr>
          <w:rFonts w:ascii="Times New Roman" w:eastAsia="Times New Roman" w:hAnsi="Times New Roman" w:cs="Times New Roman"/>
          <w:b/>
          <w:color w:val="373739"/>
          <w:sz w:val="26"/>
          <w:szCs w:val="26"/>
          <w:highlight w:val="white"/>
        </w:rPr>
        <w:t>The Term “Research” Is Unconstitutionally Vague.</w:t>
      </w:r>
      <w:r>
        <w:rPr>
          <w:rFonts w:ascii="Times New Roman" w:eastAsia="Times New Roman" w:hAnsi="Times New Roman" w:cs="Times New Roman"/>
          <w:color w:val="373739"/>
          <w:sz w:val="26"/>
          <w:szCs w:val="26"/>
          <w:highlight w:val="white"/>
        </w:rPr>
        <w:t xml:space="preserve">  </w:t>
      </w:r>
    </w:p>
    <w:p w:rsidR="00F3540B" w:rsidRDefault="0071711C">
      <w:pPr>
        <w:spacing w:line="48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color w:val="373739"/>
          <w:sz w:val="26"/>
          <w:szCs w:val="26"/>
          <w:highlight w:val="white"/>
        </w:rPr>
        <w:t xml:space="preserve">The proposed amendment purports to allow a CLDP to perform </w:t>
      </w:r>
      <w:r>
        <w:rPr>
          <w:rFonts w:ascii="Times New Roman" w:eastAsia="Times New Roman" w:hAnsi="Times New Roman" w:cs="Times New Roman"/>
          <w:i/>
          <w:color w:val="373739"/>
          <w:sz w:val="26"/>
          <w:szCs w:val="26"/>
          <w:highlight w:val="white"/>
        </w:rPr>
        <w:t>“research”</w:t>
      </w:r>
      <w:r>
        <w:rPr>
          <w:rFonts w:ascii="Times New Roman" w:eastAsia="Times New Roman" w:hAnsi="Times New Roman" w:cs="Times New Roman"/>
          <w:color w:val="373739"/>
          <w:sz w:val="26"/>
          <w:szCs w:val="26"/>
          <w:highlight w:val="white"/>
        </w:rPr>
        <w:t xml:space="preserve"> to determine if the CLDP is utilizing the appropriate form.  The first problem with this exception is that it assumes that CLDP’s are working with an all inclusive library of pre-prepared forms at their disposal.  This is not the case.  Nearly every legal form or legal document contains a reference to a law, statute, or rule.  The preparation of legal forms or legal documents, whether done by lawyer or non-lawyer, requires a review of the </w:t>
      </w:r>
      <w:r>
        <w:rPr>
          <w:rFonts w:ascii="Times New Roman" w:eastAsia="Times New Roman" w:hAnsi="Times New Roman" w:cs="Times New Roman"/>
          <w:color w:val="373739"/>
          <w:sz w:val="26"/>
          <w:szCs w:val="26"/>
          <w:highlight w:val="white"/>
        </w:rPr>
        <w:lastRenderedPageBreak/>
        <w:t>“</w:t>
      </w:r>
      <w:r>
        <w:rPr>
          <w:rFonts w:ascii="Times New Roman" w:eastAsia="Times New Roman" w:hAnsi="Times New Roman" w:cs="Times New Roman"/>
          <w:i/>
          <w:sz w:val="26"/>
          <w:szCs w:val="26"/>
        </w:rPr>
        <w:t xml:space="preserve">particular statutes, case law or other sources of information” </w:t>
      </w:r>
      <w:r>
        <w:rPr>
          <w:rFonts w:ascii="Times New Roman" w:eastAsia="Times New Roman" w:hAnsi="Times New Roman" w:cs="Times New Roman"/>
          <w:sz w:val="26"/>
          <w:szCs w:val="26"/>
        </w:rPr>
        <w:t xml:space="preserve">that relate to the subject legal form or legal document.  In the context of the proposed amendment, the term </w:t>
      </w:r>
      <w:r>
        <w:rPr>
          <w:rFonts w:ascii="Times New Roman" w:eastAsia="Times New Roman" w:hAnsi="Times New Roman" w:cs="Times New Roman"/>
          <w:i/>
          <w:sz w:val="26"/>
          <w:szCs w:val="26"/>
        </w:rPr>
        <w:t>“research”</w:t>
      </w:r>
      <w:r>
        <w:rPr>
          <w:rFonts w:ascii="Times New Roman" w:eastAsia="Times New Roman" w:hAnsi="Times New Roman" w:cs="Times New Roman"/>
          <w:sz w:val="26"/>
          <w:szCs w:val="26"/>
        </w:rPr>
        <w:t xml:space="preserve"> is subject to varied interpretation, and no clear standard is provided to determine whether a CLDP’s </w:t>
      </w:r>
      <w:r>
        <w:rPr>
          <w:rFonts w:ascii="Times New Roman" w:eastAsia="Times New Roman" w:hAnsi="Times New Roman" w:cs="Times New Roman"/>
          <w:i/>
          <w:sz w:val="26"/>
          <w:szCs w:val="26"/>
        </w:rPr>
        <w:t>“research”</w:t>
      </w:r>
      <w:r>
        <w:rPr>
          <w:rFonts w:ascii="Times New Roman" w:eastAsia="Times New Roman" w:hAnsi="Times New Roman" w:cs="Times New Roman"/>
          <w:sz w:val="26"/>
          <w:szCs w:val="26"/>
        </w:rPr>
        <w:t xml:space="preserve"> is in violation of the proposed amendment.</w:t>
      </w:r>
    </w:p>
    <w:p w:rsidR="00F3540B" w:rsidRDefault="0071711C">
      <w:pPr>
        <w:spacing w:line="480" w:lineRule="auto"/>
        <w:jc w:val="both"/>
        <w:rPr>
          <w:rFonts w:ascii="Times New Roman" w:eastAsia="Times New Roman" w:hAnsi="Times New Roman" w:cs="Times New Roman"/>
          <w:color w:val="373739"/>
          <w:sz w:val="26"/>
          <w:szCs w:val="26"/>
          <w:highlight w:val="white"/>
        </w:rPr>
      </w:pPr>
      <w:r>
        <w:rPr>
          <w:rFonts w:ascii="Times New Roman" w:eastAsia="Times New Roman" w:hAnsi="Times New Roman" w:cs="Times New Roman"/>
          <w:sz w:val="26"/>
          <w:szCs w:val="26"/>
        </w:rPr>
        <w:tab/>
        <w:t xml:space="preserve">For example, does a CLDP’s review and analysis of the various notices outlined in A.R.S. 33-1368 in preparing a notice for a landlord or property manager constitute </w:t>
      </w:r>
      <w:r>
        <w:rPr>
          <w:rFonts w:ascii="Times New Roman" w:eastAsia="Times New Roman" w:hAnsi="Times New Roman" w:cs="Times New Roman"/>
          <w:i/>
          <w:color w:val="373739"/>
          <w:sz w:val="26"/>
          <w:szCs w:val="26"/>
          <w:highlight w:val="white"/>
        </w:rPr>
        <w:t>“research”</w:t>
      </w:r>
      <w:r>
        <w:rPr>
          <w:rFonts w:ascii="Times New Roman" w:eastAsia="Times New Roman" w:hAnsi="Times New Roman" w:cs="Times New Roman"/>
          <w:color w:val="373739"/>
          <w:sz w:val="26"/>
          <w:szCs w:val="26"/>
          <w:highlight w:val="white"/>
        </w:rPr>
        <w:t xml:space="preserve"> to determine if the CLDP is utilizing the appropriate </w:t>
      </w:r>
      <w:r>
        <w:rPr>
          <w:rFonts w:ascii="Times New Roman" w:eastAsia="Times New Roman" w:hAnsi="Times New Roman" w:cs="Times New Roman"/>
          <w:i/>
          <w:color w:val="373739"/>
          <w:sz w:val="26"/>
          <w:szCs w:val="26"/>
          <w:highlight w:val="white"/>
        </w:rPr>
        <w:t>“form”</w:t>
      </w:r>
      <w:r>
        <w:rPr>
          <w:rFonts w:ascii="Times New Roman" w:eastAsia="Times New Roman" w:hAnsi="Times New Roman" w:cs="Times New Roman"/>
          <w:color w:val="373739"/>
          <w:sz w:val="26"/>
          <w:szCs w:val="26"/>
          <w:highlight w:val="white"/>
        </w:rPr>
        <w:t>?  If not, by what method is a CLDP meant to use in researching the appropriateness of a form.</w:t>
      </w:r>
    </w:p>
    <w:p w:rsidR="00F3540B" w:rsidRDefault="0071711C">
      <w:pPr>
        <w:spacing w:line="480" w:lineRule="auto"/>
        <w:ind w:firstLine="720"/>
        <w:jc w:val="both"/>
        <w:rPr>
          <w:rFonts w:ascii="Times New Roman" w:eastAsia="Times New Roman" w:hAnsi="Times New Roman" w:cs="Times New Roman"/>
          <w:color w:val="373739"/>
          <w:sz w:val="26"/>
          <w:szCs w:val="26"/>
          <w:highlight w:val="white"/>
        </w:rPr>
      </w:pPr>
      <w:r>
        <w:rPr>
          <w:rFonts w:ascii="Times New Roman" w:eastAsia="Times New Roman" w:hAnsi="Times New Roman" w:cs="Times New Roman"/>
          <w:color w:val="373739"/>
          <w:sz w:val="26"/>
          <w:szCs w:val="26"/>
          <w:highlight w:val="white"/>
        </w:rPr>
        <w:t xml:space="preserve">Further, does a CLDP’s independent research and analysis of any statutes and case law for the purpose of preparing legal documents and forms to be used in the future by prospective customers constitute </w:t>
      </w:r>
      <w:r>
        <w:rPr>
          <w:rFonts w:ascii="Times New Roman" w:eastAsia="Times New Roman" w:hAnsi="Times New Roman" w:cs="Times New Roman"/>
          <w:i/>
          <w:color w:val="373739"/>
          <w:sz w:val="26"/>
          <w:szCs w:val="26"/>
          <w:highlight w:val="white"/>
        </w:rPr>
        <w:t>“research”</w:t>
      </w:r>
      <w:r>
        <w:rPr>
          <w:rFonts w:ascii="Times New Roman" w:eastAsia="Times New Roman" w:hAnsi="Times New Roman" w:cs="Times New Roman"/>
          <w:color w:val="373739"/>
          <w:sz w:val="26"/>
          <w:szCs w:val="26"/>
          <w:highlight w:val="white"/>
        </w:rPr>
        <w:t xml:space="preserve"> to determine if the CLDP is utilizing” the appropriate </w:t>
      </w:r>
      <w:r>
        <w:rPr>
          <w:rFonts w:ascii="Times New Roman" w:eastAsia="Times New Roman" w:hAnsi="Times New Roman" w:cs="Times New Roman"/>
          <w:i/>
          <w:color w:val="373739"/>
          <w:sz w:val="26"/>
          <w:szCs w:val="26"/>
          <w:highlight w:val="white"/>
        </w:rPr>
        <w:t>“form”?</w:t>
      </w:r>
      <w:r>
        <w:rPr>
          <w:rFonts w:ascii="Times New Roman" w:eastAsia="Times New Roman" w:hAnsi="Times New Roman" w:cs="Times New Roman"/>
          <w:color w:val="373739"/>
          <w:sz w:val="26"/>
          <w:szCs w:val="26"/>
          <w:highlight w:val="white"/>
        </w:rPr>
        <w:t xml:space="preserve"> </w:t>
      </w:r>
    </w:p>
    <w:p w:rsidR="00F3540B" w:rsidRDefault="0071711C">
      <w:pPr>
        <w:spacing w:line="480" w:lineRule="auto"/>
        <w:ind w:firstLine="1440"/>
        <w:jc w:val="both"/>
        <w:rPr>
          <w:rFonts w:ascii="Times New Roman" w:eastAsia="Times New Roman" w:hAnsi="Times New Roman" w:cs="Times New Roman"/>
          <w:b/>
          <w:color w:val="373739"/>
          <w:sz w:val="26"/>
          <w:szCs w:val="26"/>
          <w:highlight w:val="white"/>
        </w:rPr>
      </w:pPr>
      <w:r>
        <w:rPr>
          <w:rFonts w:ascii="Times New Roman" w:eastAsia="Times New Roman" w:hAnsi="Times New Roman" w:cs="Times New Roman"/>
          <w:b/>
          <w:color w:val="373739"/>
          <w:sz w:val="26"/>
          <w:szCs w:val="26"/>
          <w:highlight w:val="white"/>
        </w:rPr>
        <w:t>b.</w:t>
      </w:r>
      <w:r>
        <w:rPr>
          <w:rFonts w:ascii="Times New Roman" w:eastAsia="Times New Roman" w:hAnsi="Times New Roman" w:cs="Times New Roman"/>
          <w:b/>
          <w:color w:val="373739"/>
          <w:sz w:val="26"/>
          <w:szCs w:val="26"/>
          <w:highlight w:val="white"/>
        </w:rPr>
        <w:tab/>
        <w:t xml:space="preserve">The Term “Form” Is Unconstitutionally Vague.  </w:t>
      </w:r>
    </w:p>
    <w:p w:rsidR="00F3540B" w:rsidRDefault="0071711C">
      <w:pPr>
        <w:spacing w:line="480" w:lineRule="auto"/>
        <w:ind w:firstLine="720"/>
        <w:jc w:val="both"/>
        <w:rPr>
          <w:rFonts w:ascii="Times New Roman" w:eastAsia="Times New Roman" w:hAnsi="Times New Roman" w:cs="Times New Roman"/>
          <w:color w:val="373739"/>
          <w:sz w:val="26"/>
          <w:szCs w:val="26"/>
          <w:highlight w:val="white"/>
        </w:rPr>
      </w:pPr>
      <w:r>
        <w:rPr>
          <w:rFonts w:ascii="Times New Roman" w:eastAsia="Times New Roman" w:hAnsi="Times New Roman" w:cs="Times New Roman"/>
          <w:color w:val="373739"/>
          <w:sz w:val="26"/>
          <w:szCs w:val="26"/>
          <w:highlight w:val="white"/>
        </w:rPr>
        <w:t>The proposed amendment does not define the word “form”.  The word “form” has been defined as “a printed or typed document with blank spaces for insertion of required or requested information.”</w:t>
      </w:r>
      <w:r>
        <w:rPr>
          <w:rFonts w:ascii="Times New Roman" w:eastAsia="Times New Roman" w:hAnsi="Times New Roman" w:cs="Times New Roman"/>
          <w:color w:val="373739"/>
          <w:sz w:val="26"/>
          <w:szCs w:val="26"/>
          <w:highlight w:val="white"/>
          <w:vertAlign w:val="superscript"/>
        </w:rPr>
        <w:footnoteReference w:id="9"/>
      </w:r>
      <w:r>
        <w:rPr>
          <w:rFonts w:ascii="Times New Roman" w:eastAsia="Times New Roman" w:hAnsi="Times New Roman" w:cs="Times New Roman"/>
          <w:color w:val="373739"/>
          <w:sz w:val="26"/>
          <w:szCs w:val="26"/>
          <w:highlight w:val="white"/>
        </w:rPr>
        <w:t xml:space="preserve">  Given this definition and the proposed amendment’s exception allowing a CLDP to perform </w:t>
      </w:r>
      <w:r>
        <w:rPr>
          <w:rFonts w:ascii="Times New Roman" w:eastAsia="Times New Roman" w:hAnsi="Times New Roman" w:cs="Times New Roman"/>
          <w:i/>
          <w:color w:val="373739"/>
          <w:sz w:val="26"/>
          <w:szCs w:val="26"/>
          <w:highlight w:val="white"/>
        </w:rPr>
        <w:t>“research”</w:t>
      </w:r>
      <w:r>
        <w:rPr>
          <w:rFonts w:ascii="Times New Roman" w:eastAsia="Times New Roman" w:hAnsi="Times New Roman" w:cs="Times New Roman"/>
          <w:color w:val="373739"/>
          <w:sz w:val="26"/>
          <w:szCs w:val="26"/>
          <w:highlight w:val="white"/>
        </w:rPr>
        <w:t xml:space="preserve"> to determine if the CLDP is utilizing the appropriate </w:t>
      </w:r>
      <w:r>
        <w:rPr>
          <w:rFonts w:ascii="Times New Roman" w:eastAsia="Times New Roman" w:hAnsi="Times New Roman" w:cs="Times New Roman"/>
          <w:i/>
          <w:color w:val="373739"/>
          <w:sz w:val="26"/>
          <w:szCs w:val="26"/>
          <w:highlight w:val="white"/>
        </w:rPr>
        <w:t>“form”</w:t>
      </w:r>
      <w:r>
        <w:rPr>
          <w:rFonts w:ascii="Times New Roman" w:eastAsia="Times New Roman" w:hAnsi="Times New Roman" w:cs="Times New Roman"/>
          <w:color w:val="373739"/>
          <w:sz w:val="26"/>
          <w:szCs w:val="26"/>
          <w:highlight w:val="white"/>
        </w:rPr>
        <w:t xml:space="preserve">, a legitimate question can be raised as to what sorts documents, in fact, fall within the meaning of the word </w:t>
      </w:r>
      <w:r>
        <w:rPr>
          <w:rFonts w:ascii="Times New Roman" w:eastAsia="Times New Roman" w:hAnsi="Times New Roman" w:cs="Times New Roman"/>
          <w:i/>
          <w:color w:val="373739"/>
          <w:sz w:val="26"/>
          <w:szCs w:val="26"/>
          <w:highlight w:val="white"/>
        </w:rPr>
        <w:t>“form”</w:t>
      </w:r>
      <w:r>
        <w:rPr>
          <w:rFonts w:ascii="Times New Roman" w:eastAsia="Times New Roman" w:hAnsi="Times New Roman" w:cs="Times New Roman"/>
          <w:color w:val="373739"/>
          <w:sz w:val="26"/>
          <w:szCs w:val="26"/>
          <w:highlight w:val="white"/>
        </w:rPr>
        <w:t>.</w:t>
      </w:r>
    </w:p>
    <w:p w:rsidR="00F3540B" w:rsidRDefault="0071711C">
      <w:pPr>
        <w:spacing w:line="480" w:lineRule="auto"/>
        <w:jc w:val="both"/>
        <w:rPr>
          <w:rFonts w:ascii="Times New Roman" w:eastAsia="Times New Roman" w:hAnsi="Times New Roman" w:cs="Times New Roman"/>
          <w:color w:val="373739"/>
          <w:sz w:val="26"/>
          <w:szCs w:val="26"/>
          <w:highlight w:val="white"/>
        </w:rPr>
      </w:pPr>
      <w:r>
        <w:rPr>
          <w:rFonts w:ascii="Times New Roman" w:eastAsia="Times New Roman" w:hAnsi="Times New Roman" w:cs="Times New Roman"/>
          <w:color w:val="373739"/>
          <w:sz w:val="26"/>
          <w:szCs w:val="26"/>
          <w:highlight w:val="white"/>
        </w:rPr>
        <w:tab/>
        <w:t xml:space="preserve">Is the word “form” meant to include a notice, deed, lien, will, trust, summons, complaint, motion, petition, disclosure statement, discovery request, subpoena, order </w:t>
      </w:r>
      <w:r>
        <w:rPr>
          <w:rFonts w:ascii="Times New Roman" w:eastAsia="Times New Roman" w:hAnsi="Times New Roman" w:cs="Times New Roman"/>
          <w:color w:val="373739"/>
          <w:sz w:val="26"/>
          <w:szCs w:val="26"/>
          <w:highlight w:val="white"/>
        </w:rPr>
        <w:lastRenderedPageBreak/>
        <w:t>etc.?  If so, what method is a CLDP meant to use in researching the appropriateness of these forms?</w:t>
      </w:r>
    </w:p>
    <w:p w:rsidR="00F3540B" w:rsidRDefault="0071711C">
      <w:pPr>
        <w:spacing w:line="480" w:lineRule="auto"/>
        <w:jc w:val="both"/>
        <w:rPr>
          <w:rFonts w:ascii="Times New Roman" w:eastAsia="Times New Roman" w:hAnsi="Times New Roman" w:cs="Times New Roman"/>
          <w:color w:val="373739"/>
          <w:sz w:val="26"/>
          <w:szCs w:val="26"/>
          <w:highlight w:val="white"/>
        </w:rPr>
      </w:pPr>
      <w:r>
        <w:rPr>
          <w:rFonts w:ascii="Times New Roman" w:eastAsia="Times New Roman" w:hAnsi="Times New Roman" w:cs="Times New Roman"/>
          <w:color w:val="373739"/>
          <w:sz w:val="26"/>
          <w:szCs w:val="26"/>
          <w:highlight w:val="white"/>
        </w:rPr>
        <w:tab/>
        <w:t xml:space="preserve">Simply put, because the terms “research” and “form” are so vague, it violates two of the problems outlined by the court in </w:t>
      </w:r>
      <w:r>
        <w:rPr>
          <w:rFonts w:ascii="Times New Roman" w:eastAsia="Times New Roman" w:hAnsi="Times New Roman" w:cs="Times New Roman"/>
          <w:i/>
          <w:sz w:val="26"/>
          <w:szCs w:val="26"/>
        </w:rPr>
        <w:t>Grayned.</w:t>
      </w:r>
      <w:r>
        <w:rPr>
          <w:rFonts w:ascii="Times New Roman" w:eastAsia="Times New Roman" w:hAnsi="Times New Roman" w:cs="Times New Roman"/>
          <w:sz w:val="26"/>
          <w:szCs w:val="26"/>
        </w:rPr>
        <w:t xml:space="preserve">  The proposed amendment does not provide CLDPs with sufficient notice as to what conduct is proscribed and it allows those charged with enforcing the CLDP Code of Conduct arbitrarily and selectively.</w:t>
      </w:r>
    </w:p>
    <w:p w:rsidR="00F3540B" w:rsidRDefault="0071711C">
      <w:pPr>
        <w:spacing w:line="480" w:lineRule="auto"/>
        <w:ind w:left="720" w:hanging="72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Conclusion</w:t>
      </w:r>
    </w:p>
    <w:p w:rsidR="00F3540B" w:rsidRDefault="0071711C">
      <w:pPr>
        <w:spacing w:line="48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In sum, the proposed amendments to ACJA § 7-208(J)(3) are problematic, to say the least.  Not only are the amendments contrary to the express purpose of ACJA § 7-208, but they run afoul of the United States Constitution.  Whether intended or not, the proposed amendments seek to completely redefine the role of CLDPs in Arizona and roll back the clock on the strides made for access to civil justice.  Should the proposed amendments be upheld, the Arizona Association of Independent Paralegals will not hesitate to challenge their constitutionality.  The importance of this issue cannot be understated.  For the reasons stated above, we ask that the proposed amendments be rejected.</w:t>
      </w:r>
    </w:p>
    <w:p w:rsidR="00F3540B" w:rsidRDefault="007D62B7" w:rsidP="007D62B7">
      <w:pPr>
        <w:spacing w:line="240" w:lineRule="auto"/>
        <w:ind w:left="432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FOWLER ST. CLAIR, PLLC</w:t>
      </w:r>
    </w:p>
    <w:p w:rsidR="007D62B7" w:rsidRDefault="007D62B7" w:rsidP="007D62B7">
      <w:pPr>
        <w:spacing w:line="240" w:lineRule="auto"/>
        <w:ind w:left="4320"/>
        <w:jc w:val="both"/>
        <w:rPr>
          <w:rFonts w:ascii="Times New Roman" w:eastAsia="Times New Roman" w:hAnsi="Times New Roman" w:cs="Times New Roman"/>
          <w:b/>
          <w:sz w:val="26"/>
          <w:szCs w:val="26"/>
        </w:rPr>
      </w:pPr>
    </w:p>
    <w:p w:rsidR="007D62B7" w:rsidRDefault="007D62B7" w:rsidP="007D62B7">
      <w:pPr>
        <w:spacing w:line="240" w:lineRule="auto"/>
        <w:ind w:left="4320"/>
        <w:jc w:val="both"/>
        <w:rPr>
          <w:rFonts w:ascii="Times New Roman" w:eastAsia="Times New Roman" w:hAnsi="Times New Roman" w:cs="Times New Roman"/>
          <w:b/>
          <w:sz w:val="26"/>
          <w:szCs w:val="26"/>
        </w:rPr>
      </w:pPr>
    </w:p>
    <w:p w:rsidR="007D62B7" w:rsidRDefault="007D62B7" w:rsidP="007D62B7">
      <w:pPr>
        <w:spacing w:line="240" w:lineRule="auto"/>
        <w:ind w:left="43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u w:val="single"/>
        </w:rPr>
        <w:tab/>
      </w:r>
      <w:r>
        <w:rPr>
          <w:rFonts w:ascii="Times New Roman" w:eastAsia="Times New Roman" w:hAnsi="Times New Roman" w:cs="Times New Roman"/>
          <w:sz w:val="26"/>
          <w:szCs w:val="26"/>
          <w:u w:val="single"/>
        </w:rPr>
        <w:tab/>
      </w:r>
      <w:r>
        <w:rPr>
          <w:rFonts w:ascii="Times New Roman" w:eastAsia="Times New Roman" w:hAnsi="Times New Roman" w:cs="Times New Roman"/>
          <w:sz w:val="26"/>
          <w:szCs w:val="26"/>
          <w:u w:val="single"/>
        </w:rPr>
        <w:tab/>
      </w:r>
      <w:r>
        <w:rPr>
          <w:rFonts w:ascii="Times New Roman" w:eastAsia="Times New Roman" w:hAnsi="Times New Roman" w:cs="Times New Roman"/>
          <w:sz w:val="26"/>
          <w:szCs w:val="26"/>
          <w:u w:val="single"/>
        </w:rPr>
        <w:tab/>
      </w:r>
      <w:r>
        <w:rPr>
          <w:rFonts w:ascii="Times New Roman" w:eastAsia="Times New Roman" w:hAnsi="Times New Roman" w:cs="Times New Roman"/>
          <w:sz w:val="26"/>
          <w:szCs w:val="26"/>
          <w:u w:val="single"/>
        </w:rPr>
        <w:tab/>
      </w:r>
      <w:r>
        <w:rPr>
          <w:rFonts w:ascii="Times New Roman" w:eastAsia="Times New Roman" w:hAnsi="Times New Roman" w:cs="Times New Roman"/>
          <w:sz w:val="26"/>
          <w:szCs w:val="26"/>
          <w:u w:val="single"/>
        </w:rPr>
        <w:tab/>
      </w:r>
    </w:p>
    <w:p w:rsidR="007D62B7" w:rsidRDefault="007D62B7" w:rsidP="007D62B7">
      <w:pPr>
        <w:spacing w:line="240" w:lineRule="auto"/>
        <w:ind w:left="43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Brian C. Locker, Esq.</w:t>
      </w:r>
    </w:p>
    <w:p w:rsidR="007D62B7" w:rsidRDefault="007D62B7" w:rsidP="007D62B7">
      <w:pPr>
        <w:spacing w:line="240" w:lineRule="auto"/>
        <w:ind w:left="43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1201 S. Alma School Rd. #12750</w:t>
      </w:r>
    </w:p>
    <w:p w:rsidR="007D62B7" w:rsidRDefault="007D62B7" w:rsidP="007D62B7">
      <w:pPr>
        <w:spacing w:line="240" w:lineRule="auto"/>
        <w:ind w:left="43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Mesa, Arizona 85210</w:t>
      </w:r>
    </w:p>
    <w:p w:rsidR="007D62B7" w:rsidRDefault="007D62B7" w:rsidP="007D62B7">
      <w:pPr>
        <w:spacing w:line="240" w:lineRule="auto"/>
        <w:ind w:left="43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(480) 788-9911</w:t>
      </w:r>
    </w:p>
    <w:p w:rsidR="00F3540B" w:rsidRDefault="007D62B7" w:rsidP="007D62B7">
      <w:pPr>
        <w:spacing w:line="240" w:lineRule="auto"/>
        <w:ind w:left="4320"/>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locker@fowlerstclair.com</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p>
    <w:p w:rsidR="00F3540B" w:rsidRDefault="00F3540B" w:rsidP="0071711C">
      <w:pPr>
        <w:spacing w:line="480" w:lineRule="auto"/>
        <w:jc w:val="both"/>
        <w:rPr>
          <w:rFonts w:ascii="Times New Roman" w:eastAsia="Times New Roman" w:hAnsi="Times New Roman" w:cs="Times New Roman"/>
          <w:b/>
          <w:sz w:val="26"/>
          <w:szCs w:val="26"/>
        </w:rPr>
      </w:pPr>
    </w:p>
    <w:sectPr w:rsidR="00F3540B">
      <w:footerReference w:type="default" r:id="rId6"/>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30BA" w:rsidRDefault="000730BA">
      <w:pPr>
        <w:spacing w:line="240" w:lineRule="auto"/>
      </w:pPr>
      <w:r>
        <w:separator/>
      </w:r>
    </w:p>
  </w:endnote>
  <w:endnote w:type="continuationSeparator" w:id="0">
    <w:p w:rsidR="000730BA" w:rsidRDefault="000730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540B" w:rsidRDefault="0071711C">
    <w:pPr>
      <w:jc w:val="right"/>
    </w:pPr>
    <w:r>
      <w:rPr>
        <w:rFonts w:ascii="Times New Roman" w:eastAsia="Times New Roman" w:hAnsi="Times New Roman" w:cs="Times New Roman"/>
        <w:b/>
      </w:rPr>
      <w:fldChar w:fldCharType="begin"/>
    </w:r>
    <w:r>
      <w:rPr>
        <w:rFonts w:ascii="Times New Roman" w:eastAsia="Times New Roman" w:hAnsi="Times New Roman" w:cs="Times New Roman"/>
        <w:b/>
      </w:rPr>
      <w:instrText>PAGE</w:instrText>
    </w:r>
    <w:r>
      <w:rPr>
        <w:rFonts w:ascii="Times New Roman" w:eastAsia="Times New Roman" w:hAnsi="Times New Roman" w:cs="Times New Roman"/>
        <w:b/>
      </w:rPr>
      <w:fldChar w:fldCharType="separate"/>
    </w:r>
    <w:r w:rsidR="007D62B7">
      <w:rPr>
        <w:rFonts w:ascii="Times New Roman" w:eastAsia="Times New Roman" w:hAnsi="Times New Roman" w:cs="Times New Roman"/>
        <w:b/>
        <w:noProof/>
      </w:rPr>
      <w:t>13</w:t>
    </w:r>
    <w:r>
      <w:rPr>
        <w:rFonts w:ascii="Times New Roman" w:eastAsia="Times New Roman" w:hAnsi="Times New Roman" w:cs="Times New Roman"/>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30BA" w:rsidRDefault="000730BA">
      <w:pPr>
        <w:spacing w:line="240" w:lineRule="auto"/>
      </w:pPr>
      <w:r>
        <w:separator/>
      </w:r>
    </w:p>
  </w:footnote>
  <w:footnote w:type="continuationSeparator" w:id="0">
    <w:p w:rsidR="000730BA" w:rsidRDefault="000730BA">
      <w:pPr>
        <w:spacing w:line="240" w:lineRule="auto"/>
      </w:pPr>
      <w:r>
        <w:continuationSeparator/>
      </w:r>
    </w:p>
  </w:footnote>
  <w:footnote w:id="1">
    <w:p w:rsidR="00F3540B" w:rsidRPr="0071711C" w:rsidRDefault="0071711C">
      <w:pPr>
        <w:spacing w:line="240" w:lineRule="auto"/>
        <w:jc w:val="both"/>
        <w:rPr>
          <w:rFonts w:ascii="Times New Roman" w:eastAsia="Times New Roman" w:hAnsi="Times New Roman" w:cs="Times New Roman"/>
          <w:sz w:val="24"/>
          <w:szCs w:val="24"/>
        </w:rPr>
      </w:pPr>
      <w:r w:rsidRPr="0071711C">
        <w:rPr>
          <w:rFonts w:ascii="Times New Roman" w:hAnsi="Times New Roman" w:cs="Times New Roman"/>
          <w:sz w:val="24"/>
          <w:szCs w:val="24"/>
          <w:vertAlign w:val="superscript"/>
        </w:rPr>
        <w:footnoteRef/>
      </w:r>
      <w:r w:rsidRPr="0071711C">
        <w:rPr>
          <w:rFonts w:ascii="Times New Roman" w:hAnsi="Times New Roman" w:cs="Times New Roman"/>
          <w:sz w:val="24"/>
          <w:szCs w:val="24"/>
        </w:rPr>
        <w:t xml:space="preserve"> </w:t>
      </w:r>
      <w:r w:rsidRPr="0071711C">
        <w:rPr>
          <w:rFonts w:ascii="Times New Roman" w:eastAsia="Times New Roman" w:hAnsi="Times New Roman" w:cs="Times New Roman"/>
          <w:sz w:val="24"/>
          <w:szCs w:val="24"/>
        </w:rPr>
        <w:t xml:space="preserve">Sales, Bruce D., Connie J. Beck and Richard K. Haan. </w:t>
      </w:r>
      <w:r w:rsidRPr="0071711C">
        <w:rPr>
          <w:rFonts w:ascii="Times New Roman" w:eastAsia="Times New Roman" w:hAnsi="Times New Roman" w:cs="Times New Roman"/>
          <w:sz w:val="24"/>
          <w:szCs w:val="24"/>
          <w:u w:val="single"/>
        </w:rPr>
        <w:t>Is Self-Representation a Reasonable Alternative to Attorney Representation in Divorce Cases?</w:t>
      </w:r>
      <w:r w:rsidRPr="0071711C">
        <w:rPr>
          <w:rFonts w:ascii="Times New Roman" w:eastAsia="Times New Roman" w:hAnsi="Times New Roman" w:cs="Times New Roman"/>
          <w:sz w:val="24"/>
          <w:szCs w:val="24"/>
        </w:rPr>
        <w:t xml:space="preserve"> St. Louis University Law Journal. St. Louis, MO, 1993. (Study conducted in 1991).</w:t>
      </w:r>
    </w:p>
  </w:footnote>
  <w:footnote w:id="2">
    <w:p w:rsidR="00F3540B" w:rsidRPr="0071711C" w:rsidRDefault="0071711C">
      <w:pPr>
        <w:spacing w:line="240" w:lineRule="auto"/>
        <w:jc w:val="both"/>
        <w:rPr>
          <w:rFonts w:ascii="Times New Roman" w:eastAsia="Times New Roman" w:hAnsi="Times New Roman" w:cs="Times New Roman"/>
          <w:sz w:val="24"/>
          <w:szCs w:val="24"/>
        </w:rPr>
      </w:pPr>
      <w:r w:rsidRPr="0071711C">
        <w:rPr>
          <w:rFonts w:ascii="Times New Roman" w:hAnsi="Times New Roman" w:cs="Times New Roman"/>
          <w:sz w:val="24"/>
          <w:szCs w:val="24"/>
          <w:vertAlign w:val="superscript"/>
        </w:rPr>
        <w:footnoteRef/>
      </w:r>
      <w:r w:rsidRPr="0071711C">
        <w:rPr>
          <w:rFonts w:ascii="Times New Roman" w:eastAsia="Times New Roman" w:hAnsi="Times New Roman" w:cs="Times New Roman"/>
          <w:sz w:val="24"/>
          <w:szCs w:val="24"/>
        </w:rPr>
        <w:t xml:space="preserve"> </w:t>
      </w:r>
      <w:r w:rsidRPr="0071711C">
        <w:rPr>
          <w:rFonts w:ascii="Times New Roman" w:eastAsia="Times New Roman" w:hAnsi="Times New Roman" w:cs="Times New Roman"/>
          <w:i/>
          <w:sz w:val="24"/>
          <w:szCs w:val="24"/>
        </w:rPr>
        <w:t xml:space="preserve">See </w:t>
      </w:r>
      <w:r w:rsidRPr="0071711C">
        <w:rPr>
          <w:rFonts w:ascii="Times New Roman" w:eastAsia="Times New Roman" w:hAnsi="Times New Roman" w:cs="Times New Roman"/>
          <w:sz w:val="24"/>
          <w:szCs w:val="24"/>
        </w:rPr>
        <w:t xml:space="preserve">Greacen, John M..  </w:t>
      </w:r>
      <w:r w:rsidRPr="0071711C">
        <w:rPr>
          <w:rFonts w:ascii="Times New Roman" w:eastAsia="Times New Roman" w:hAnsi="Times New Roman" w:cs="Times New Roman"/>
          <w:sz w:val="24"/>
          <w:szCs w:val="24"/>
          <w:u w:val="single"/>
        </w:rPr>
        <w:t>Self Represented Litigants and Court and Legal Services Responses to Their Needs - What We Know</w:t>
      </w:r>
      <w:r w:rsidRPr="0071711C">
        <w:rPr>
          <w:rFonts w:ascii="Times New Roman" w:eastAsia="Times New Roman" w:hAnsi="Times New Roman" w:cs="Times New Roman"/>
          <w:sz w:val="24"/>
          <w:szCs w:val="24"/>
        </w:rPr>
        <w:t xml:space="preserve">. Center for Families, Children &amp; the Courts, California Administrative Office of the Courts. Los Angeles, CA, 2000.  </w:t>
      </w:r>
      <w:r w:rsidRPr="0071711C">
        <w:rPr>
          <w:rFonts w:ascii="Times New Roman" w:eastAsia="Times New Roman" w:hAnsi="Times New Roman" w:cs="Times New Roman"/>
          <w:i/>
          <w:sz w:val="24"/>
          <w:szCs w:val="24"/>
        </w:rPr>
        <w:t xml:space="preserve">See also </w:t>
      </w:r>
      <w:r w:rsidRPr="0071711C">
        <w:rPr>
          <w:rFonts w:ascii="Times New Roman" w:eastAsia="Times New Roman" w:hAnsi="Times New Roman" w:cs="Times New Roman"/>
          <w:sz w:val="24"/>
          <w:szCs w:val="24"/>
        </w:rPr>
        <w:t xml:space="preserve">Special Projects Unit, San Diego County Superior Court. </w:t>
      </w:r>
      <w:r w:rsidRPr="0071711C">
        <w:rPr>
          <w:rFonts w:ascii="Times New Roman" w:eastAsia="Times New Roman" w:hAnsi="Times New Roman" w:cs="Times New Roman"/>
          <w:sz w:val="24"/>
          <w:szCs w:val="24"/>
          <w:u w:val="single"/>
        </w:rPr>
        <w:t>Central Division Family court Case Activity Report on Cases filed in May 200 and Followed for 365 days</w:t>
      </w:r>
      <w:r w:rsidRPr="0071711C">
        <w:rPr>
          <w:rFonts w:ascii="Times New Roman" w:eastAsia="Times New Roman" w:hAnsi="Times New Roman" w:cs="Times New Roman"/>
          <w:sz w:val="24"/>
          <w:szCs w:val="24"/>
        </w:rPr>
        <w:t xml:space="preserve">. San Diego, CA, 2001; The Legal Aid Foundation of Los Angeles. </w:t>
      </w:r>
      <w:r w:rsidRPr="0071711C">
        <w:rPr>
          <w:rFonts w:ascii="Times New Roman" w:eastAsia="Times New Roman" w:hAnsi="Times New Roman" w:cs="Times New Roman"/>
          <w:sz w:val="24"/>
          <w:szCs w:val="24"/>
          <w:u w:val="single"/>
        </w:rPr>
        <w:t>Final Evaluation Report, Legal Aid Foundation of Los Angeles Unlawful Detainer Equal Access Project – Year 1</w:t>
      </w:r>
      <w:r w:rsidRPr="0071711C">
        <w:rPr>
          <w:rFonts w:ascii="Times New Roman" w:eastAsia="Times New Roman" w:hAnsi="Times New Roman" w:cs="Times New Roman"/>
          <w:sz w:val="24"/>
          <w:szCs w:val="24"/>
        </w:rPr>
        <w:t>. Los Angeles, CA, 2001.</w:t>
      </w:r>
    </w:p>
  </w:footnote>
  <w:footnote w:id="3">
    <w:p w:rsidR="00F3540B" w:rsidRPr="0071711C" w:rsidRDefault="0071711C">
      <w:pPr>
        <w:spacing w:line="240" w:lineRule="auto"/>
        <w:jc w:val="both"/>
        <w:rPr>
          <w:rFonts w:ascii="Times New Roman" w:eastAsia="Times New Roman" w:hAnsi="Times New Roman" w:cs="Times New Roman"/>
          <w:sz w:val="24"/>
          <w:szCs w:val="24"/>
        </w:rPr>
      </w:pPr>
      <w:r w:rsidRPr="0071711C">
        <w:rPr>
          <w:rFonts w:ascii="Times New Roman" w:hAnsi="Times New Roman" w:cs="Times New Roman"/>
          <w:sz w:val="24"/>
          <w:szCs w:val="24"/>
          <w:vertAlign w:val="superscript"/>
        </w:rPr>
        <w:footnoteRef/>
      </w:r>
      <w:r w:rsidRPr="0071711C">
        <w:rPr>
          <w:rFonts w:ascii="Times New Roman" w:eastAsia="Times New Roman" w:hAnsi="Times New Roman" w:cs="Times New Roman"/>
          <w:sz w:val="24"/>
          <w:szCs w:val="24"/>
        </w:rPr>
        <w:t xml:space="preserve"> </w:t>
      </w:r>
      <w:r w:rsidRPr="0071711C">
        <w:rPr>
          <w:rFonts w:ascii="Times New Roman" w:eastAsia="Times New Roman" w:hAnsi="Times New Roman" w:cs="Times New Roman"/>
          <w:i/>
          <w:sz w:val="24"/>
          <w:szCs w:val="24"/>
        </w:rPr>
        <w:t xml:space="preserve">See </w:t>
      </w:r>
      <w:r w:rsidRPr="0071711C">
        <w:rPr>
          <w:rFonts w:ascii="Times New Roman" w:eastAsia="Times New Roman" w:hAnsi="Times New Roman" w:cs="Times New Roman"/>
          <w:sz w:val="24"/>
          <w:szCs w:val="24"/>
        </w:rPr>
        <w:t xml:space="preserve">Maricopa County Judiciary.  </w:t>
      </w:r>
      <w:r w:rsidRPr="0071711C">
        <w:rPr>
          <w:rFonts w:ascii="Times New Roman" w:eastAsia="Times New Roman" w:hAnsi="Times New Roman" w:cs="Times New Roman"/>
          <w:sz w:val="24"/>
          <w:szCs w:val="24"/>
          <w:u w:val="single"/>
        </w:rPr>
        <w:t>Maricopa County Superior Court Annual Report</w:t>
      </w:r>
      <w:r w:rsidRPr="0071711C">
        <w:rPr>
          <w:rFonts w:ascii="Times New Roman" w:eastAsia="Times New Roman" w:hAnsi="Times New Roman" w:cs="Times New Roman"/>
          <w:sz w:val="24"/>
          <w:szCs w:val="24"/>
        </w:rPr>
        <w:t>, 2016. (“Strategic Focus Area #1: Access to Justice . . . designed to pursue the Mission, Vision and Values, engage the entire judicial Branch, and ultimately benefit each of the Branch’s stakeholders [the Public]”).</w:t>
      </w:r>
    </w:p>
  </w:footnote>
  <w:footnote w:id="4">
    <w:p w:rsidR="00F3540B" w:rsidRPr="0071711C" w:rsidRDefault="0071711C">
      <w:pPr>
        <w:spacing w:line="240" w:lineRule="auto"/>
        <w:jc w:val="both"/>
        <w:rPr>
          <w:rFonts w:ascii="Times New Roman" w:eastAsia="Times New Roman" w:hAnsi="Times New Roman" w:cs="Times New Roman"/>
          <w:sz w:val="24"/>
          <w:szCs w:val="24"/>
        </w:rPr>
      </w:pPr>
      <w:r w:rsidRPr="0071711C">
        <w:rPr>
          <w:rFonts w:ascii="Times New Roman" w:hAnsi="Times New Roman" w:cs="Times New Roman"/>
          <w:sz w:val="24"/>
          <w:szCs w:val="24"/>
          <w:vertAlign w:val="superscript"/>
        </w:rPr>
        <w:footnoteRef/>
      </w:r>
      <w:r w:rsidRPr="0071711C">
        <w:rPr>
          <w:rFonts w:ascii="Times New Roman" w:hAnsi="Times New Roman" w:cs="Times New Roman"/>
          <w:sz w:val="24"/>
          <w:szCs w:val="24"/>
        </w:rPr>
        <w:t xml:space="preserve"> </w:t>
      </w:r>
      <w:r w:rsidRPr="0071711C">
        <w:rPr>
          <w:rFonts w:ascii="Times New Roman" w:eastAsia="Times New Roman" w:hAnsi="Times New Roman" w:cs="Times New Roman"/>
          <w:sz w:val="24"/>
          <w:szCs w:val="24"/>
        </w:rPr>
        <w:t xml:space="preserve">American Bar Association Task Force on Access to Civil Justice. </w:t>
      </w:r>
      <w:r w:rsidRPr="0071711C">
        <w:rPr>
          <w:rFonts w:ascii="Times New Roman" w:eastAsia="Times New Roman" w:hAnsi="Times New Roman" w:cs="Times New Roman"/>
          <w:sz w:val="24"/>
          <w:szCs w:val="24"/>
          <w:u w:val="single"/>
        </w:rPr>
        <w:t>Report to the House of Delegates.</w:t>
      </w:r>
      <w:r w:rsidRPr="0071711C">
        <w:rPr>
          <w:rFonts w:ascii="Times New Roman" w:eastAsia="Times New Roman" w:hAnsi="Times New Roman" w:cs="Times New Roman"/>
          <w:sz w:val="24"/>
          <w:szCs w:val="24"/>
        </w:rPr>
        <w:t xml:space="preserve"> American Bar Association House of Delegates, August 2006. (“Despite 130 Years of Legal Aid in the United States, Existing Resources have Proven Inadequate to Fulfill the Promise of Equal Justice for All”); </w:t>
      </w:r>
      <w:r w:rsidRPr="0071711C">
        <w:rPr>
          <w:rFonts w:ascii="Times New Roman" w:eastAsia="Times New Roman" w:hAnsi="Times New Roman" w:cs="Times New Roman"/>
          <w:i/>
          <w:sz w:val="24"/>
          <w:szCs w:val="24"/>
        </w:rPr>
        <w:t xml:space="preserve">See also </w:t>
      </w:r>
      <w:r w:rsidRPr="0071711C">
        <w:rPr>
          <w:rFonts w:ascii="Times New Roman" w:eastAsia="Times New Roman" w:hAnsi="Times New Roman" w:cs="Times New Roman"/>
          <w:sz w:val="24"/>
          <w:szCs w:val="24"/>
        </w:rPr>
        <w:t xml:space="preserve">Office of the State Court Administrator, Florida. </w:t>
      </w:r>
      <w:r w:rsidRPr="0071711C">
        <w:rPr>
          <w:rFonts w:ascii="Times New Roman" w:eastAsia="Times New Roman" w:hAnsi="Times New Roman" w:cs="Times New Roman"/>
          <w:sz w:val="24"/>
          <w:szCs w:val="24"/>
          <w:u w:val="single"/>
        </w:rPr>
        <w:t>Report to the Florida Legislature on Family Court Self-Help Programs</w:t>
      </w:r>
      <w:r w:rsidRPr="0071711C">
        <w:rPr>
          <w:rFonts w:ascii="Times New Roman" w:eastAsia="Times New Roman" w:hAnsi="Times New Roman" w:cs="Times New Roman"/>
          <w:sz w:val="24"/>
          <w:szCs w:val="24"/>
        </w:rPr>
        <w:t>. Tallahassee. FL, 1999.</w:t>
      </w:r>
    </w:p>
  </w:footnote>
  <w:footnote w:id="5">
    <w:p w:rsidR="00F3540B" w:rsidRPr="0071711C" w:rsidRDefault="0071711C">
      <w:pPr>
        <w:spacing w:line="240" w:lineRule="auto"/>
        <w:jc w:val="both"/>
        <w:rPr>
          <w:rFonts w:ascii="Times New Roman" w:eastAsia="Times New Roman" w:hAnsi="Times New Roman" w:cs="Times New Roman"/>
          <w:sz w:val="24"/>
          <w:szCs w:val="24"/>
        </w:rPr>
      </w:pPr>
      <w:r w:rsidRPr="0071711C">
        <w:rPr>
          <w:rFonts w:ascii="Times New Roman" w:hAnsi="Times New Roman" w:cs="Times New Roman"/>
          <w:sz w:val="24"/>
          <w:szCs w:val="24"/>
          <w:vertAlign w:val="superscript"/>
        </w:rPr>
        <w:footnoteRef/>
      </w:r>
      <w:r w:rsidRPr="0071711C">
        <w:rPr>
          <w:rFonts w:ascii="Times New Roman" w:eastAsia="Times New Roman" w:hAnsi="Times New Roman" w:cs="Times New Roman"/>
          <w:sz w:val="24"/>
          <w:szCs w:val="24"/>
        </w:rPr>
        <w:t xml:space="preserve"> </w:t>
      </w:r>
      <w:r w:rsidRPr="0071711C">
        <w:rPr>
          <w:rFonts w:ascii="Times New Roman" w:eastAsia="Times New Roman" w:hAnsi="Times New Roman" w:cs="Times New Roman"/>
          <w:i/>
          <w:sz w:val="24"/>
          <w:szCs w:val="24"/>
        </w:rPr>
        <w:t xml:space="preserve">See </w:t>
      </w:r>
      <w:r w:rsidRPr="0071711C">
        <w:rPr>
          <w:rFonts w:ascii="Times New Roman" w:eastAsia="Times New Roman" w:hAnsi="Times New Roman" w:cs="Times New Roman"/>
          <w:sz w:val="24"/>
          <w:szCs w:val="24"/>
        </w:rPr>
        <w:t>WA R ADMIS APR 12 (“Washington Limited Practice Officer Program”); NRS Chapter 240A (“Nevada Document Preparation Service”); (“Louisiana Legal Document Assistant”); Cal.Bus. &amp; Prof.Code D. 3, Ch. 5.5 (“California Legal Document Assistant”); ACJA § 7-208 (“Arizona Certified Legal Document Preparer”).</w:t>
      </w:r>
    </w:p>
  </w:footnote>
  <w:footnote w:id="6">
    <w:p w:rsidR="00F3540B" w:rsidRPr="0071711C" w:rsidRDefault="0071711C">
      <w:pPr>
        <w:spacing w:line="240" w:lineRule="auto"/>
        <w:rPr>
          <w:rFonts w:ascii="Times New Roman" w:eastAsia="Times New Roman" w:hAnsi="Times New Roman" w:cs="Times New Roman"/>
          <w:sz w:val="24"/>
          <w:szCs w:val="24"/>
        </w:rPr>
      </w:pPr>
      <w:r w:rsidRPr="0071711C">
        <w:rPr>
          <w:rFonts w:ascii="Times New Roman" w:hAnsi="Times New Roman" w:cs="Times New Roman"/>
          <w:sz w:val="24"/>
          <w:szCs w:val="24"/>
          <w:vertAlign w:val="superscript"/>
        </w:rPr>
        <w:footnoteRef/>
      </w:r>
      <w:r w:rsidRPr="0071711C">
        <w:rPr>
          <w:rFonts w:ascii="Times New Roman" w:eastAsia="Times New Roman" w:hAnsi="Times New Roman" w:cs="Times New Roman"/>
          <w:sz w:val="24"/>
          <w:szCs w:val="24"/>
        </w:rPr>
        <w:t xml:space="preserve"> </w:t>
      </w:r>
      <w:r w:rsidRPr="0071711C">
        <w:rPr>
          <w:rFonts w:ascii="Times New Roman" w:eastAsia="Times New Roman" w:hAnsi="Times New Roman" w:cs="Times New Roman"/>
          <w:i/>
          <w:sz w:val="24"/>
          <w:szCs w:val="24"/>
        </w:rPr>
        <w:t xml:space="preserve">See </w:t>
      </w:r>
      <w:r w:rsidRPr="0071711C">
        <w:rPr>
          <w:rFonts w:ascii="Times New Roman" w:eastAsia="Times New Roman" w:hAnsi="Times New Roman" w:cs="Times New Roman"/>
          <w:sz w:val="24"/>
          <w:szCs w:val="24"/>
        </w:rPr>
        <w:t>ACJA § 7-208(L)(4)(a)(4).</w:t>
      </w:r>
    </w:p>
  </w:footnote>
  <w:footnote w:id="7">
    <w:p w:rsidR="00F3540B" w:rsidRPr="0071711C" w:rsidRDefault="0071711C">
      <w:pPr>
        <w:spacing w:line="240" w:lineRule="auto"/>
        <w:rPr>
          <w:rFonts w:ascii="Times New Roman" w:eastAsia="Times New Roman" w:hAnsi="Times New Roman" w:cs="Times New Roman"/>
          <w:sz w:val="24"/>
          <w:szCs w:val="24"/>
        </w:rPr>
      </w:pPr>
      <w:r w:rsidRPr="0071711C">
        <w:rPr>
          <w:rFonts w:ascii="Times New Roman" w:hAnsi="Times New Roman" w:cs="Times New Roman"/>
          <w:sz w:val="24"/>
          <w:szCs w:val="24"/>
          <w:vertAlign w:val="superscript"/>
        </w:rPr>
        <w:footnoteRef/>
      </w:r>
      <w:r w:rsidRPr="0071711C">
        <w:rPr>
          <w:rFonts w:ascii="Times New Roman" w:eastAsia="Times New Roman" w:hAnsi="Times New Roman" w:cs="Times New Roman"/>
          <w:sz w:val="24"/>
          <w:szCs w:val="24"/>
        </w:rPr>
        <w:t xml:space="preserve"> </w:t>
      </w:r>
      <w:r w:rsidRPr="0071711C">
        <w:rPr>
          <w:rFonts w:ascii="Times New Roman" w:eastAsia="Times New Roman" w:hAnsi="Times New Roman" w:cs="Times New Roman"/>
          <w:i/>
          <w:sz w:val="24"/>
          <w:szCs w:val="24"/>
        </w:rPr>
        <w:t>Grayned v. City of Rockford</w:t>
      </w:r>
      <w:r w:rsidRPr="0071711C">
        <w:rPr>
          <w:rFonts w:ascii="Times New Roman" w:eastAsia="Times New Roman" w:hAnsi="Times New Roman" w:cs="Times New Roman"/>
          <w:sz w:val="24"/>
          <w:szCs w:val="24"/>
        </w:rPr>
        <w:t>, 408 U.S. 104, 108 (1972).</w:t>
      </w:r>
    </w:p>
  </w:footnote>
  <w:footnote w:id="8">
    <w:p w:rsidR="00F3540B" w:rsidRPr="0071711C" w:rsidRDefault="0071711C">
      <w:pPr>
        <w:spacing w:line="240" w:lineRule="auto"/>
        <w:rPr>
          <w:rFonts w:ascii="Times New Roman" w:eastAsia="Times New Roman" w:hAnsi="Times New Roman" w:cs="Times New Roman"/>
          <w:sz w:val="24"/>
          <w:szCs w:val="24"/>
        </w:rPr>
      </w:pPr>
      <w:r w:rsidRPr="0071711C">
        <w:rPr>
          <w:rFonts w:ascii="Times New Roman" w:hAnsi="Times New Roman" w:cs="Times New Roman"/>
          <w:sz w:val="24"/>
          <w:szCs w:val="24"/>
          <w:vertAlign w:val="superscript"/>
        </w:rPr>
        <w:footnoteRef/>
      </w:r>
      <w:r w:rsidRPr="0071711C">
        <w:rPr>
          <w:rFonts w:ascii="Times New Roman" w:eastAsia="Times New Roman" w:hAnsi="Times New Roman" w:cs="Times New Roman"/>
          <w:sz w:val="24"/>
          <w:szCs w:val="24"/>
        </w:rPr>
        <w:t xml:space="preserve"> </w:t>
      </w:r>
      <w:r w:rsidRPr="0071711C">
        <w:rPr>
          <w:rFonts w:ascii="Times New Roman" w:eastAsia="Times New Roman" w:hAnsi="Times New Roman" w:cs="Times New Roman"/>
          <w:i/>
          <w:color w:val="373739"/>
          <w:sz w:val="24"/>
          <w:szCs w:val="24"/>
          <w:highlight w:val="white"/>
        </w:rPr>
        <w:t>Grayned</w:t>
      </w:r>
      <w:r w:rsidRPr="0071711C">
        <w:rPr>
          <w:rFonts w:ascii="Times New Roman" w:eastAsia="Times New Roman" w:hAnsi="Times New Roman" w:cs="Times New Roman"/>
          <w:color w:val="373739"/>
          <w:sz w:val="24"/>
          <w:szCs w:val="24"/>
          <w:highlight w:val="white"/>
        </w:rPr>
        <w:t>, at 108-109.</w:t>
      </w:r>
    </w:p>
  </w:footnote>
  <w:footnote w:id="9">
    <w:p w:rsidR="00F3540B" w:rsidRPr="0071711C" w:rsidRDefault="0071711C">
      <w:pPr>
        <w:spacing w:line="240" w:lineRule="auto"/>
        <w:rPr>
          <w:rFonts w:ascii="Times New Roman" w:eastAsia="Times New Roman" w:hAnsi="Times New Roman" w:cs="Times New Roman"/>
          <w:sz w:val="24"/>
          <w:szCs w:val="24"/>
        </w:rPr>
      </w:pPr>
      <w:r w:rsidRPr="0071711C">
        <w:rPr>
          <w:rFonts w:ascii="Times New Roman" w:hAnsi="Times New Roman" w:cs="Times New Roman"/>
          <w:sz w:val="24"/>
          <w:szCs w:val="24"/>
          <w:vertAlign w:val="superscript"/>
        </w:rPr>
        <w:footnoteRef/>
      </w:r>
      <w:r w:rsidRPr="0071711C">
        <w:rPr>
          <w:rFonts w:ascii="Times New Roman" w:eastAsia="Times New Roman" w:hAnsi="Times New Roman" w:cs="Times New Roman"/>
          <w:sz w:val="24"/>
          <w:szCs w:val="24"/>
        </w:rPr>
        <w:t xml:space="preserve"> https://www.merriam-webster.com/dictionary/form.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F3540B"/>
    <w:rsid w:val="000730BA"/>
    <w:rsid w:val="004A32FC"/>
    <w:rsid w:val="006560FE"/>
    <w:rsid w:val="0071711C"/>
    <w:rsid w:val="007D62B7"/>
    <w:rsid w:val="00F35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ACE54F-6760-480A-99D6-2CFC6D4E2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jc w:val="center"/>
      <w:outlineLvl w:val="0"/>
    </w:pPr>
    <w:rPr>
      <w:b/>
      <w:sz w:val="28"/>
      <w:szCs w:val="28"/>
      <w:u w:val="single"/>
    </w:rPr>
  </w:style>
  <w:style w:type="paragraph" w:styleId="Heading2">
    <w:name w:val="heading 2"/>
    <w:basedOn w:val="Normal"/>
    <w:next w:val="Normal"/>
    <w:pPr>
      <w:keepNext/>
      <w:keepLines/>
      <w:spacing w:before="360" w:after="80"/>
      <w:outlineLvl w:val="1"/>
    </w:pPr>
    <w:rPr>
      <w:b/>
      <w:sz w:val="28"/>
      <w:szCs w:val="28"/>
    </w:rPr>
  </w:style>
  <w:style w:type="paragraph" w:styleId="Heading3">
    <w:name w:val="heading 3"/>
    <w:basedOn w:val="Normal"/>
    <w:next w:val="Normal"/>
    <w:pPr>
      <w:keepNext/>
      <w:keepLines/>
      <w:ind w:left="720" w:hanging="360"/>
      <w:outlineLvl w:val="2"/>
    </w:pPr>
    <w:rPr>
      <w:b/>
      <w:sz w:val="18"/>
      <w:szCs w:val="18"/>
    </w:rPr>
  </w:style>
  <w:style w:type="paragraph" w:styleId="Heading4">
    <w:name w:val="heading 4"/>
    <w:basedOn w:val="Normal"/>
    <w:next w:val="Normal"/>
    <w:pPr>
      <w:keepNext/>
      <w:keepLines/>
      <w:ind w:left="1440" w:hanging="360"/>
      <w:outlineLvl w:val="3"/>
    </w:pPr>
    <w:rPr>
      <w:i/>
      <w:sz w:val="16"/>
      <w:szCs w:val="16"/>
    </w:rPr>
  </w:style>
  <w:style w:type="paragraph" w:styleId="Heading5">
    <w:name w:val="heading 5"/>
    <w:basedOn w:val="Normal"/>
    <w:next w:val="Normal"/>
    <w:pPr>
      <w:keepNext/>
      <w:keepLines/>
      <w:spacing w:before="220" w:after="40"/>
      <w:outlineLvl w:val="4"/>
    </w:pPr>
    <w:rPr>
      <w:b/>
      <w:color w:val="666666"/>
      <w:sz w:val="20"/>
      <w:szCs w:val="20"/>
    </w:rPr>
  </w:style>
  <w:style w:type="paragraph" w:styleId="Heading6">
    <w:name w:val="heading 6"/>
    <w:basedOn w:val="Normal"/>
    <w:next w:val="Normal"/>
    <w:pPr>
      <w:keepNext/>
      <w:keepLines/>
      <w:spacing w:before="200" w:after="40"/>
      <w:outlineLvl w:val="5"/>
    </w:pPr>
    <w:rPr>
      <w:i/>
      <w:color w:val="66666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7D62B7"/>
    <w:rPr>
      <w:color w:val="0563C1" w:themeColor="hyperlink"/>
      <w:u w:val="single"/>
    </w:rPr>
  </w:style>
  <w:style w:type="character" w:styleId="UnresolvedMention">
    <w:name w:val="Unresolved Mention"/>
    <w:basedOn w:val="DefaultParagraphFont"/>
    <w:uiPriority w:val="99"/>
    <w:semiHidden/>
    <w:unhideWhenUsed/>
    <w:rsid w:val="007D62B7"/>
    <w:rPr>
      <w:color w:val="808080"/>
      <w:shd w:val="clear" w:color="auto" w:fill="E6E6E6"/>
    </w:rPr>
  </w:style>
  <w:style w:type="paragraph" w:styleId="BalloonText">
    <w:name w:val="Balloon Text"/>
    <w:basedOn w:val="Normal"/>
    <w:link w:val="BalloonTextChar"/>
    <w:uiPriority w:val="99"/>
    <w:semiHidden/>
    <w:unhideWhenUsed/>
    <w:rsid w:val="004A32F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32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2969</Words>
  <Characters>16925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mrdocuman</dc:creator>
  <cp:lastModifiedBy>mrdocuman</cp:lastModifiedBy>
  <cp:revision>2</cp:revision>
  <cp:lastPrinted>2017-10-26T00:10:00Z</cp:lastPrinted>
  <dcterms:created xsi:type="dcterms:W3CDTF">2017-10-26T00:11:00Z</dcterms:created>
  <dcterms:modified xsi:type="dcterms:W3CDTF">2017-10-26T00:11:00Z</dcterms:modified>
</cp:coreProperties>
</file>