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60B4" w14:textId="26D10165" w:rsidR="00CB5407" w:rsidRPr="002237D5" w:rsidRDefault="00CB5407" w:rsidP="00CB5407">
      <w:pPr>
        <w:jc w:val="center"/>
        <w:rPr>
          <w:b/>
          <w:bCs w:val="0"/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ARIZONA CODE OF JUDICIAL ADMINISTRATION</w:t>
      </w:r>
    </w:p>
    <w:p w14:paraId="5C1F91E3" w14:textId="77777777" w:rsidR="00CB5407" w:rsidRPr="002237D5" w:rsidRDefault="00CB5407" w:rsidP="00CB5407">
      <w:pPr>
        <w:jc w:val="center"/>
        <w:rPr>
          <w:b/>
          <w:bCs w:val="0"/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 xml:space="preserve">Part </w:t>
      </w:r>
      <w:r w:rsidR="00B05B9D" w:rsidRPr="002237D5">
        <w:rPr>
          <w:b/>
          <w:bCs w:val="0"/>
          <w:color w:val="auto"/>
          <w:sz w:val="24"/>
          <w:szCs w:val="24"/>
        </w:rPr>
        <w:t>1: Judicial Branch Administration</w:t>
      </w:r>
    </w:p>
    <w:p w14:paraId="422C89A8" w14:textId="77777777" w:rsidR="00CB5407" w:rsidRPr="002237D5" w:rsidRDefault="00CB5407" w:rsidP="00CB5407">
      <w:pPr>
        <w:jc w:val="center"/>
        <w:rPr>
          <w:b/>
          <w:bCs w:val="0"/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 xml:space="preserve">Chapter </w:t>
      </w:r>
      <w:r w:rsidR="00B05B9D" w:rsidRPr="002237D5">
        <w:rPr>
          <w:b/>
          <w:bCs w:val="0"/>
          <w:color w:val="auto"/>
          <w:sz w:val="24"/>
          <w:szCs w:val="24"/>
        </w:rPr>
        <w:t>1</w:t>
      </w:r>
      <w:r w:rsidRPr="002237D5">
        <w:rPr>
          <w:b/>
          <w:bCs w:val="0"/>
          <w:color w:val="auto"/>
          <w:sz w:val="24"/>
          <w:szCs w:val="24"/>
        </w:rPr>
        <w:t xml:space="preserve">: </w:t>
      </w:r>
      <w:r w:rsidR="00B05B9D" w:rsidRPr="002237D5">
        <w:rPr>
          <w:b/>
          <w:bCs w:val="0"/>
          <w:color w:val="auto"/>
          <w:sz w:val="24"/>
          <w:szCs w:val="24"/>
        </w:rPr>
        <w:t>Leadership</w:t>
      </w:r>
    </w:p>
    <w:p w14:paraId="28CB6986" w14:textId="2BD42A51" w:rsidR="00CB5407" w:rsidRPr="002237D5" w:rsidRDefault="00CB5407" w:rsidP="00CB5407">
      <w:pPr>
        <w:jc w:val="center"/>
        <w:rPr>
          <w:b/>
          <w:bCs w:val="0"/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 xml:space="preserve">Section </w:t>
      </w:r>
      <w:r w:rsidR="00B05B9D" w:rsidRPr="002237D5">
        <w:rPr>
          <w:b/>
          <w:bCs w:val="0"/>
          <w:color w:val="auto"/>
          <w:sz w:val="24"/>
          <w:szCs w:val="24"/>
        </w:rPr>
        <w:t>1-11</w:t>
      </w:r>
      <w:r w:rsidR="00EF546F" w:rsidRPr="002237D5">
        <w:rPr>
          <w:b/>
          <w:bCs w:val="0"/>
          <w:color w:val="auto"/>
          <w:sz w:val="24"/>
          <w:szCs w:val="24"/>
        </w:rPr>
        <w:t>3</w:t>
      </w:r>
      <w:r w:rsidRPr="002237D5">
        <w:rPr>
          <w:b/>
          <w:bCs w:val="0"/>
          <w:color w:val="auto"/>
          <w:sz w:val="24"/>
          <w:szCs w:val="24"/>
        </w:rPr>
        <w:t xml:space="preserve">: </w:t>
      </w:r>
      <w:r w:rsidR="00B05B9D" w:rsidRPr="002237D5">
        <w:rPr>
          <w:b/>
          <w:bCs w:val="0"/>
          <w:color w:val="auto"/>
          <w:sz w:val="24"/>
          <w:szCs w:val="24"/>
        </w:rPr>
        <w:t>Arizona Commission on Access to Justice</w:t>
      </w:r>
    </w:p>
    <w:p w14:paraId="3861BB41" w14:textId="18597FC9" w:rsidR="00224824" w:rsidRPr="002237D5" w:rsidRDefault="00224824" w:rsidP="00CB5407">
      <w:pPr>
        <w:jc w:val="center"/>
        <w:rPr>
          <w:b/>
          <w:bCs w:val="0"/>
          <w:color w:val="auto"/>
          <w:sz w:val="24"/>
          <w:szCs w:val="24"/>
        </w:rPr>
      </w:pPr>
    </w:p>
    <w:p w14:paraId="3C880D53" w14:textId="26FDA5C3" w:rsidR="00224824" w:rsidRPr="002237D5" w:rsidRDefault="00A06D18" w:rsidP="00CB5407">
      <w:pPr>
        <w:jc w:val="center"/>
        <w:rPr>
          <w:i/>
          <w:iCs/>
          <w:color w:val="auto"/>
          <w:sz w:val="24"/>
          <w:szCs w:val="24"/>
        </w:rPr>
      </w:pPr>
      <w:r w:rsidRPr="002237D5">
        <w:rPr>
          <w:i/>
          <w:iCs/>
          <w:color w:val="auto"/>
          <w:sz w:val="24"/>
          <w:szCs w:val="24"/>
        </w:rPr>
        <w:t>[A</w:t>
      </w:r>
      <w:r w:rsidR="00EF546F" w:rsidRPr="002237D5">
        <w:rPr>
          <w:i/>
          <w:iCs/>
          <w:color w:val="auto"/>
          <w:sz w:val="24"/>
          <w:szCs w:val="24"/>
        </w:rPr>
        <w:t>ll</w:t>
      </w:r>
      <w:r w:rsidRPr="002237D5">
        <w:rPr>
          <w:i/>
          <w:iCs/>
          <w:color w:val="auto"/>
          <w:sz w:val="24"/>
          <w:szCs w:val="24"/>
        </w:rPr>
        <w:t xml:space="preserve"> text is </w:t>
      </w:r>
      <w:r w:rsidR="002237D5" w:rsidRPr="002237D5">
        <w:rPr>
          <w:i/>
          <w:iCs/>
          <w:color w:val="auto"/>
          <w:sz w:val="24"/>
          <w:szCs w:val="24"/>
        </w:rPr>
        <w:t>new</w:t>
      </w:r>
      <w:r w:rsidRPr="002237D5">
        <w:rPr>
          <w:i/>
          <w:iCs/>
          <w:color w:val="auto"/>
          <w:sz w:val="24"/>
          <w:szCs w:val="24"/>
        </w:rPr>
        <w:t>.]</w:t>
      </w:r>
    </w:p>
    <w:p w14:paraId="60FB6DEC" w14:textId="77777777" w:rsidR="00A06D18" w:rsidRPr="002237D5" w:rsidRDefault="00A06D18" w:rsidP="00CB5407">
      <w:pPr>
        <w:jc w:val="center"/>
        <w:rPr>
          <w:i/>
          <w:iCs/>
          <w:color w:val="auto"/>
          <w:sz w:val="24"/>
          <w:szCs w:val="24"/>
        </w:rPr>
      </w:pPr>
    </w:p>
    <w:p w14:paraId="61209ACF" w14:textId="4C56E5A4" w:rsidR="000A3212" w:rsidRPr="002237D5" w:rsidRDefault="00CB5407" w:rsidP="002237D5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A.</w:t>
      </w:r>
      <w:r w:rsidRPr="002237D5">
        <w:rPr>
          <w:b/>
          <w:bCs w:val="0"/>
          <w:color w:val="auto"/>
          <w:sz w:val="24"/>
          <w:szCs w:val="24"/>
        </w:rPr>
        <w:tab/>
      </w:r>
      <w:r w:rsidR="00B05B9D" w:rsidRPr="002237D5">
        <w:rPr>
          <w:b/>
          <w:bCs w:val="0"/>
          <w:color w:val="auto"/>
          <w:sz w:val="24"/>
          <w:szCs w:val="24"/>
        </w:rPr>
        <w:t>General Purpose</w:t>
      </w:r>
      <w:r w:rsidRPr="002237D5">
        <w:rPr>
          <w:b/>
          <w:bCs w:val="0"/>
          <w:color w:val="auto"/>
          <w:sz w:val="24"/>
          <w:szCs w:val="24"/>
        </w:rPr>
        <w:t xml:space="preserve">. </w:t>
      </w:r>
      <w:r w:rsidR="00B05B9D" w:rsidRPr="002237D5">
        <w:rPr>
          <w:color w:val="auto"/>
          <w:sz w:val="24"/>
          <w:szCs w:val="24"/>
        </w:rPr>
        <w:t>The Arizona Commission on Access to Justice (ACAJ)</w:t>
      </w:r>
      <w:r w:rsidR="00DC77E2" w:rsidRPr="002237D5">
        <w:rPr>
          <w:color w:val="auto"/>
          <w:sz w:val="24"/>
          <w:szCs w:val="24"/>
        </w:rPr>
        <w:t xml:space="preserve"> </w:t>
      </w:r>
      <w:r w:rsidR="00B05B9D" w:rsidRPr="002237D5">
        <w:rPr>
          <w:color w:val="auto"/>
          <w:sz w:val="24"/>
          <w:szCs w:val="24"/>
        </w:rPr>
        <w:t xml:space="preserve">is a standing commission of the Arizona Judicial Council. </w:t>
      </w:r>
      <w:r w:rsidR="00355211" w:rsidRPr="002237D5">
        <w:rPr>
          <w:color w:val="auto"/>
          <w:sz w:val="24"/>
          <w:szCs w:val="24"/>
        </w:rPr>
        <w:t>E</w:t>
      </w:r>
      <w:r w:rsidR="00B400A1" w:rsidRPr="002237D5">
        <w:rPr>
          <w:color w:val="auto"/>
          <w:sz w:val="24"/>
          <w:szCs w:val="24"/>
        </w:rPr>
        <w:t xml:space="preserve">stablished by an </w:t>
      </w:r>
      <w:r w:rsidR="00355211" w:rsidRPr="002237D5">
        <w:rPr>
          <w:color w:val="auto"/>
          <w:sz w:val="24"/>
          <w:szCs w:val="24"/>
        </w:rPr>
        <w:t xml:space="preserve">Arizona Supreme Court </w:t>
      </w:r>
      <w:r w:rsidR="00B400A1" w:rsidRPr="002237D5">
        <w:rPr>
          <w:color w:val="auto"/>
          <w:sz w:val="24"/>
          <w:szCs w:val="24"/>
        </w:rPr>
        <w:t>Administrative Order in 2014, t</w:t>
      </w:r>
      <w:r w:rsidR="00DC77E2" w:rsidRPr="002237D5">
        <w:rPr>
          <w:color w:val="auto"/>
          <w:sz w:val="24"/>
          <w:szCs w:val="24"/>
        </w:rPr>
        <w:t>he ACAJ help</w:t>
      </w:r>
      <w:r w:rsidR="00B400A1" w:rsidRPr="002237D5">
        <w:rPr>
          <w:color w:val="auto"/>
          <w:sz w:val="24"/>
          <w:szCs w:val="24"/>
        </w:rPr>
        <w:t>s</w:t>
      </w:r>
      <w:r w:rsidR="00DC77E2" w:rsidRPr="002237D5">
        <w:rPr>
          <w:color w:val="auto"/>
          <w:sz w:val="24"/>
          <w:szCs w:val="24"/>
        </w:rPr>
        <w:t xml:space="preserve"> serve the important Strategic Agenda goal of </w:t>
      </w:r>
      <w:r w:rsidR="00FD41C9" w:rsidRPr="002237D5">
        <w:rPr>
          <w:color w:val="auto"/>
          <w:sz w:val="24"/>
          <w:szCs w:val="24"/>
        </w:rPr>
        <w:t xml:space="preserve">expanding and </w:t>
      </w:r>
      <w:r w:rsidR="00DC77E2" w:rsidRPr="002237D5">
        <w:rPr>
          <w:color w:val="auto"/>
          <w:sz w:val="24"/>
          <w:szCs w:val="24"/>
        </w:rPr>
        <w:t>promoting access to justice</w:t>
      </w:r>
      <w:r w:rsidR="00694CFD" w:rsidRPr="002237D5">
        <w:rPr>
          <w:color w:val="auto"/>
          <w:sz w:val="24"/>
          <w:szCs w:val="24"/>
        </w:rPr>
        <w:t>, particularly in civil litigation in Arizona’s state courts.</w:t>
      </w:r>
      <w:r w:rsidR="00BF122B" w:rsidRPr="002237D5">
        <w:rPr>
          <w:color w:val="auto"/>
          <w:sz w:val="24"/>
          <w:szCs w:val="24"/>
        </w:rPr>
        <w:t xml:space="preserve"> The ACAJ promotes community and court connections and creates collaborative opportunities to provide those involved in Arizona’s civil justice system with a safe, accessible, trusted, fair, efficient, and meaningful experience to address and resolve disputes. The </w:t>
      </w:r>
      <w:r w:rsidR="00146706" w:rsidRPr="002237D5">
        <w:rPr>
          <w:color w:val="auto"/>
          <w:sz w:val="24"/>
          <w:szCs w:val="24"/>
        </w:rPr>
        <w:t xml:space="preserve">ACJA </w:t>
      </w:r>
      <w:r w:rsidR="00BF122B" w:rsidRPr="002237D5">
        <w:rPr>
          <w:color w:val="auto"/>
          <w:sz w:val="24"/>
          <w:szCs w:val="24"/>
        </w:rPr>
        <w:t xml:space="preserve">is an information exchange forum and a source of information, education, and training to help enhance and improve Arizona’s civil justice system and the experience of those involved in that system. The </w:t>
      </w:r>
      <w:r w:rsidR="00E076D8" w:rsidRPr="002237D5">
        <w:rPr>
          <w:color w:val="auto"/>
          <w:sz w:val="24"/>
          <w:szCs w:val="24"/>
        </w:rPr>
        <w:t xml:space="preserve">ACJA </w:t>
      </w:r>
      <w:r w:rsidR="00BF122B" w:rsidRPr="002237D5">
        <w:rPr>
          <w:color w:val="auto"/>
          <w:sz w:val="24"/>
          <w:szCs w:val="24"/>
        </w:rPr>
        <w:t>is collaborative</w:t>
      </w:r>
      <w:r w:rsidR="00F02498" w:rsidRPr="002237D5">
        <w:rPr>
          <w:color w:val="auto"/>
          <w:sz w:val="24"/>
          <w:szCs w:val="24"/>
        </w:rPr>
        <w:t>,</w:t>
      </w:r>
      <w:r w:rsidR="00BF122B" w:rsidRPr="002237D5">
        <w:rPr>
          <w:color w:val="auto"/>
          <w:sz w:val="24"/>
          <w:szCs w:val="24"/>
        </w:rPr>
        <w:t xml:space="preserve"> committed to making a difference</w:t>
      </w:r>
      <w:r w:rsidR="00F02498" w:rsidRPr="002237D5">
        <w:rPr>
          <w:color w:val="auto"/>
          <w:sz w:val="24"/>
          <w:szCs w:val="24"/>
        </w:rPr>
        <w:t>,</w:t>
      </w:r>
      <w:r w:rsidR="00BF122B" w:rsidRPr="002237D5">
        <w:rPr>
          <w:color w:val="auto"/>
          <w:sz w:val="24"/>
          <w:szCs w:val="24"/>
        </w:rPr>
        <w:t xml:space="preserve"> accountable</w:t>
      </w:r>
      <w:r w:rsidR="00F02498" w:rsidRPr="002237D5">
        <w:rPr>
          <w:color w:val="auto"/>
          <w:sz w:val="24"/>
          <w:szCs w:val="24"/>
        </w:rPr>
        <w:t>,</w:t>
      </w:r>
      <w:r w:rsidR="00BF122B" w:rsidRPr="002237D5">
        <w:rPr>
          <w:color w:val="auto"/>
          <w:sz w:val="24"/>
          <w:szCs w:val="24"/>
        </w:rPr>
        <w:t xml:space="preserve"> and eager to innovate and remove barriers to better serve the public.</w:t>
      </w:r>
      <w:r w:rsidR="00E62179" w:rsidRPr="002237D5">
        <w:rPr>
          <w:color w:val="auto"/>
          <w:sz w:val="24"/>
          <w:szCs w:val="24"/>
        </w:rPr>
        <w:t xml:space="preserve"> </w:t>
      </w:r>
      <w:r w:rsidR="000A3212" w:rsidRPr="002237D5">
        <w:rPr>
          <w:color w:val="auto"/>
          <w:sz w:val="24"/>
          <w:szCs w:val="24"/>
        </w:rPr>
        <w:t xml:space="preserve">The ACAJ’s work and priorities </w:t>
      </w:r>
      <w:r w:rsidR="000134E0">
        <w:rPr>
          <w:color w:val="auto"/>
          <w:sz w:val="24"/>
          <w:szCs w:val="24"/>
        </w:rPr>
        <w:t>are</w:t>
      </w:r>
      <w:r w:rsidR="000A3212" w:rsidRPr="002237D5">
        <w:rPr>
          <w:color w:val="auto"/>
          <w:sz w:val="24"/>
          <w:szCs w:val="24"/>
        </w:rPr>
        <w:t xml:space="preserve"> set by the Chief Justice in consultation with the chair of the ACAJ.</w:t>
      </w:r>
    </w:p>
    <w:p w14:paraId="2F62C780" w14:textId="77777777" w:rsidR="00122FF4" w:rsidRPr="002237D5" w:rsidRDefault="00122FF4" w:rsidP="002237D5">
      <w:pPr>
        <w:ind w:left="450" w:hanging="450"/>
        <w:jc w:val="both"/>
        <w:rPr>
          <w:color w:val="auto"/>
          <w:sz w:val="24"/>
          <w:szCs w:val="24"/>
        </w:rPr>
      </w:pPr>
    </w:p>
    <w:p w14:paraId="7B8C37FD" w14:textId="6EED275E" w:rsidR="005A09D6" w:rsidRPr="002237D5" w:rsidRDefault="00CB5407" w:rsidP="002237D5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B.</w:t>
      </w:r>
      <w:r w:rsidRPr="002237D5">
        <w:rPr>
          <w:b/>
          <w:bCs w:val="0"/>
          <w:color w:val="auto"/>
          <w:sz w:val="24"/>
          <w:szCs w:val="24"/>
        </w:rPr>
        <w:tab/>
      </w:r>
      <w:r w:rsidR="0074544F" w:rsidRPr="002237D5">
        <w:rPr>
          <w:b/>
          <w:bCs w:val="0"/>
          <w:color w:val="auto"/>
          <w:sz w:val="24"/>
          <w:szCs w:val="24"/>
        </w:rPr>
        <w:t>Membership</w:t>
      </w:r>
      <w:r w:rsidRPr="002237D5">
        <w:rPr>
          <w:b/>
          <w:bCs w:val="0"/>
          <w:color w:val="auto"/>
          <w:sz w:val="24"/>
          <w:szCs w:val="24"/>
        </w:rPr>
        <w:t xml:space="preserve">. </w:t>
      </w:r>
      <w:r w:rsidR="00333366" w:rsidRPr="002237D5">
        <w:rPr>
          <w:color w:val="auto"/>
          <w:sz w:val="24"/>
          <w:szCs w:val="24"/>
        </w:rPr>
        <w:t xml:space="preserve">The ACAJ </w:t>
      </w:r>
      <w:r w:rsidR="009C6010">
        <w:rPr>
          <w:color w:val="auto"/>
          <w:sz w:val="24"/>
          <w:szCs w:val="24"/>
        </w:rPr>
        <w:t xml:space="preserve">will </w:t>
      </w:r>
      <w:r w:rsidR="00333366" w:rsidRPr="002237D5">
        <w:rPr>
          <w:color w:val="auto"/>
          <w:sz w:val="24"/>
          <w:szCs w:val="24"/>
        </w:rPr>
        <w:t xml:space="preserve">include </w:t>
      </w:r>
      <w:r w:rsidR="00171CBE" w:rsidRPr="002237D5">
        <w:rPr>
          <w:color w:val="auto"/>
          <w:sz w:val="24"/>
          <w:szCs w:val="24"/>
        </w:rPr>
        <w:t xml:space="preserve">the following </w:t>
      </w:r>
      <w:r w:rsidR="00333366" w:rsidRPr="002237D5">
        <w:rPr>
          <w:color w:val="auto"/>
          <w:sz w:val="24"/>
          <w:szCs w:val="24"/>
        </w:rPr>
        <w:t>members:</w:t>
      </w:r>
    </w:p>
    <w:p w14:paraId="4D4CD17B" w14:textId="212877F8" w:rsidR="00CB5407" w:rsidRPr="002237D5" w:rsidRDefault="00CB5407" w:rsidP="00887393">
      <w:pPr>
        <w:ind w:left="360"/>
        <w:jc w:val="both"/>
        <w:rPr>
          <w:color w:val="auto"/>
          <w:sz w:val="24"/>
          <w:szCs w:val="24"/>
        </w:rPr>
      </w:pPr>
    </w:p>
    <w:p w14:paraId="62E914AE" w14:textId="3A765E48" w:rsidR="0061318C" w:rsidRPr="002237D5" w:rsidRDefault="001237E7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 xml:space="preserve">Two </w:t>
      </w:r>
      <w:r w:rsidR="00171CBE" w:rsidRPr="002237D5">
        <w:rPr>
          <w:color w:val="auto"/>
          <w:sz w:val="24"/>
          <w:szCs w:val="24"/>
        </w:rPr>
        <w:t>appellate court judge</w:t>
      </w:r>
      <w:r w:rsidRPr="002237D5">
        <w:rPr>
          <w:color w:val="auto"/>
          <w:sz w:val="24"/>
          <w:szCs w:val="24"/>
        </w:rPr>
        <w:t>s</w:t>
      </w:r>
      <w:r w:rsidR="006013B8" w:rsidRPr="002237D5">
        <w:rPr>
          <w:color w:val="auto"/>
          <w:sz w:val="24"/>
          <w:szCs w:val="24"/>
        </w:rPr>
        <w:t>;</w:t>
      </w:r>
    </w:p>
    <w:p w14:paraId="64C0CC31" w14:textId="77777777" w:rsidR="00A31BEB" w:rsidRPr="002237D5" w:rsidRDefault="00A31BEB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Two superior court judges;</w:t>
      </w:r>
    </w:p>
    <w:p w14:paraId="03EED3A1" w14:textId="77777777" w:rsidR="00A31BEB" w:rsidRPr="002237D5" w:rsidRDefault="00A31BEB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Two limited jurisdiction court judges;</w:t>
      </w:r>
    </w:p>
    <w:p w14:paraId="1F0286A0" w14:textId="58A9A64A" w:rsidR="00A06430" w:rsidRPr="002237D5" w:rsidRDefault="00A06430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Two tribal</w:t>
      </w:r>
      <w:r w:rsidR="00A72923" w:rsidRPr="002237D5">
        <w:rPr>
          <w:color w:val="auto"/>
          <w:sz w:val="24"/>
          <w:szCs w:val="24"/>
        </w:rPr>
        <w:t xml:space="preserve"> court justices or judges;</w:t>
      </w:r>
    </w:p>
    <w:p w14:paraId="71F05A28" w14:textId="085151B9" w:rsidR="00171CBE" w:rsidRPr="002237D5" w:rsidRDefault="00171CBE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One clerk of the superior court;</w:t>
      </w:r>
    </w:p>
    <w:p w14:paraId="2CBFB1EF" w14:textId="155D753A" w:rsidR="00171CBE" w:rsidRPr="002237D5" w:rsidRDefault="00171CBE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One court administrator from the superior court;</w:t>
      </w:r>
    </w:p>
    <w:p w14:paraId="7C2CC9D7" w14:textId="0FB050BF" w:rsidR="00B76E36" w:rsidRPr="002237D5" w:rsidRDefault="00B76E36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One court administrator from a limited jurisdiction court;</w:t>
      </w:r>
    </w:p>
    <w:p w14:paraId="15FDFC69" w14:textId="3D468409" w:rsidR="00171CBE" w:rsidRPr="002237D5" w:rsidRDefault="00171CBE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Two Arizona lawyers in active law practice;</w:t>
      </w:r>
    </w:p>
    <w:p w14:paraId="4E142BA9" w14:textId="782C47A5" w:rsidR="006F1F40" w:rsidRPr="002237D5" w:rsidRDefault="006F1F40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 xml:space="preserve">Four legal services </w:t>
      </w:r>
      <w:r w:rsidR="002B36BE" w:rsidRPr="002237D5">
        <w:rPr>
          <w:color w:val="auto"/>
          <w:sz w:val="24"/>
          <w:szCs w:val="24"/>
        </w:rPr>
        <w:t xml:space="preserve">representatives; </w:t>
      </w:r>
    </w:p>
    <w:p w14:paraId="31845BF6" w14:textId="77777777" w:rsidR="00D555CC" w:rsidRPr="002237D5" w:rsidRDefault="00D555CC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One law student at the Arizona State University Sandra Day O’Connor College of Law or the University of Arizona James E. Rogers College of Law.</w:t>
      </w:r>
    </w:p>
    <w:p w14:paraId="79F7B7CC" w14:textId="369F992D" w:rsidR="00D555CC" w:rsidRPr="002237D5" w:rsidRDefault="00D555CC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 xml:space="preserve">One librarian or law librarian; </w:t>
      </w:r>
    </w:p>
    <w:p w14:paraId="7969A8EC" w14:textId="1B455D28" w:rsidR="00171CBE" w:rsidRPr="002237D5" w:rsidRDefault="00171CBE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The Administrative Director of the Courts or designee;</w:t>
      </w:r>
    </w:p>
    <w:p w14:paraId="65824FFB" w14:textId="4B356749" w:rsidR="00171CBE" w:rsidRPr="002237D5" w:rsidRDefault="00171CBE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The Executive Director of the Arizona Foundation for Legal Services &amp; Education or designee;</w:t>
      </w:r>
    </w:p>
    <w:p w14:paraId="53433FE7" w14:textId="5AC841CC" w:rsidR="00171CBE" w:rsidRPr="002237D5" w:rsidRDefault="00171CBE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The Executive Director of the State Bar of Arizona or designee;</w:t>
      </w:r>
    </w:p>
    <w:p w14:paraId="335B739E" w14:textId="3C00D33C" w:rsidR="00E23A2F" w:rsidRPr="002237D5" w:rsidRDefault="006F1F40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 xml:space="preserve">Two </w:t>
      </w:r>
      <w:r w:rsidR="00171CBE" w:rsidRPr="002237D5">
        <w:rPr>
          <w:color w:val="auto"/>
          <w:sz w:val="24"/>
          <w:szCs w:val="24"/>
        </w:rPr>
        <w:t>public members</w:t>
      </w:r>
      <w:r w:rsidR="00887393" w:rsidRPr="002237D5">
        <w:rPr>
          <w:color w:val="auto"/>
          <w:sz w:val="24"/>
          <w:szCs w:val="24"/>
        </w:rPr>
        <w:t xml:space="preserve">; </w:t>
      </w:r>
      <w:r w:rsidR="002B36BE" w:rsidRPr="002237D5">
        <w:rPr>
          <w:color w:val="auto"/>
          <w:sz w:val="24"/>
          <w:szCs w:val="24"/>
        </w:rPr>
        <w:t>and</w:t>
      </w:r>
    </w:p>
    <w:p w14:paraId="1D4F38ED" w14:textId="5CE6F15A" w:rsidR="00171CBE" w:rsidRPr="002237D5" w:rsidRDefault="002C5A6D" w:rsidP="002237D5">
      <w:pPr>
        <w:numPr>
          <w:ilvl w:val="0"/>
          <w:numId w:val="1"/>
        </w:num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 xml:space="preserve">Others at the discretion of the Chief Justice. </w:t>
      </w:r>
    </w:p>
    <w:p w14:paraId="0347AF59" w14:textId="77777777" w:rsidR="00CB5407" w:rsidRPr="002237D5" w:rsidRDefault="00CB5407" w:rsidP="00887393">
      <w:pPr>
        <w:jc w:val="both"/>
        <w:rPr>
          <w:color w:val="auto"/>
          <w:sz w:val="24"/>
          <w:szCs w:val="24"/>
        </w:rPr>
      </w:pPr>
    </w:p>
    <w:p w14:paraId="701E953D" w14:textId="02BC4DBA" w:rsidR="00887393" w:rsidRPr="002237D5" w:rsidRDefault="00887393" w:rsidP="00FF1447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C.</w:t>
      </w:r>
      <w:r w:rsidRPr="002237D5">
        <w:rPr>
          <w:b/>
          <w:bCs w:val="0"/>
          <w:color w:val="auto"/>
          <w:sz w:val="24"/>
          <w:szCs w:val="24"/>
        </w:rPr>
        <w:tab/>
        <w:t>Terms</w:t>
      </w:r>
      <w:r w:rsidR="00C95B27" w:rsidRPr="002237D5">
        <w:rPr>
          <w:b/>
          <w:bCs w:val="0"/>
          <w:color w:val="auto"/>
          <w:sz w:val="24"/>
          <w:szCs w:val="24"/>
        </w:rPr>
        <w:t xml:space="preserve"> of Members</w:t>
      </w:r>
      <w:r w:rsidRPr="002237D5">
        <w:rPr>
          <w:b/>
          <w:bCs w:val="0"/>
          <w:color w:val="auto"/>
          <w:sz w:val="24"/>
          <w:szCs w:val="24"/>
        </w:rPr>
        <w:t xml:space="preserve">. </w:t>
      </w:r>
      <w:r w:rsidRPr="002237D5">
        <w:rPr>
          <w:color w:val="auto"/>
          <w:sz w:val="24"/>
          <w:szCs w:val="24"/>
        </w:rPr>
        <w:t xml:space="preserve">The </w:t>
      </w:r>
      <w:r w:rsidR="00C13415" w:rsidRPr="002237D5">
        <w:rPr>
          <w:color w:val="auto"/>
          <w:sz w:val="24"/>
          <w:szCs w:val="24"/>
        </w:rPr>
        <w:t>C</w:t>
      </w:r>
      <w:r w:rsidRPr="002237D5">
        <w:rPr>
          <w:color w:val="auto"/>
          <w:sz w:val="24"/>
          <w:szCs w:val="24"/>
        </w:rPr>
        <w:t xml:space="preserve">hief </w:t>
      </w:r>
      <w:r w:rsidR="00C13415" w:rsidRPr="002237D5">
        <w:rPr>
          <w:color w:val="auto"/>
          <w:sz w:val="24"/>
          <w:szCs w:val="24"/>
        </w:rPr>
        <w:t>J</w:t>
      </w:r>
      <w:r w:rsidRPr="002237D5">
        <w:rPr>
          <w:color w:val="auto"/>
          <w:sz w:val="24"/>
          <w:szCs w:val="24"/>
        </w:rPr>
        <w:t xml:space="preserve">ustice </w:t>
      </w:r>
      <w:r w:rsidR="009E262A">
        <w:rPr>
          <w:color w:val="auto"/>
          <w:sz w:val="24"/>
          <w:szCs w:val="24"/>
        </w:rPr>
        <w:t>will</w:t>
      </w:r>
      <w:r w:rsidR="001953EE" w:rsidRPr="002237D5">
        <w:rPr>
          <w:color w:val="auto"/>
          <w:sz w:val="24"/>
          <w:szCs w:val="24"/>
        </w:rPr>
        <w:t xml:space="preserve"> </w:t>
      </w:r>
      <w:r w:rsidRPr="002237D5">
        <w:rPr>
          <w:color w:val="auto"/>
          <w:sz w:val="24"/>
          <w:szCs w:val="24"/>
        </w:rPr>
        <w:t xml:space="preserve">appoint </w:t>
      </w:r>
      <w:r w:rsidR="00141305" w:rsidRPr="002237D5">
        <w:rPr>
          <w:color w:val="auto"/>
          <w:sz w:val="24"/>
          <w:szCs w:val="24"/>
        </w:rPr>
        <w:t xml:space="preserve">members </w:t>
      </w:r>
      <w:r w:rsidR="00AA19CC" w:rsidRPr="002237D5">
        <w:rPr>
          <w:color w:val="auto"/>
          <w:sz w:val="24"/>
          <w:szCs w:val="24"/>
        </w:rPr>
        <w:t>for terms</w:t>
      </w:r>
      <w:r w:rsidR="006F6652" w:rsidRPr="002237D5">
        <w:rPr>
          <w:color w:val="auto"/>
          <w:sz w:val="24"/>
          <w:szCs w:val="24"/>
        </w:rPr>
        <w:t xml:space="preserve"> </w:t>
      </w:r>
      <w:r w:rsidR="00AE64F6" w:rsidRPr="002237D5">
        <w:rPr>
          <w:color w:val="auto"/>
          <w:sz w:val="24"/>
          <w:szCs w:val="24"/>
        </w:rPr>
        <w:t xml:space="preserve">of </w:t>
      </w:r>
      <w:r w:rsidR="001953EE" w:rsidRPr="002237D5">
        <w:rPr>
          <w:color w:val="auto"/>
          <w:sz w:val="24"/>
          <w:szCs w:val="24"/>
        </w:rPr>
        <w:t xml:space="preserve">varying lengths to encourage </w:t>
      </w:r>
      <w:r w:rsidR="00E77921" w:rsidRPr="002237D5">
        <w:rPr>
          <w:color w:val="auto"/>
          <w:sz w:val="24"/>
          <w:szCs w:val="24"/>
        </w:rPr>
        <w:t xml:space="preserve">both </w:t>
      </w:r>
      <w:r w:rsidR="001953EE" w:rsidRPr="002237D5">
        <w:rPr>
          <w:color w:val="auto"/>
          <w:sz w:val="24"/>
          <w:szCs w:val="24"/>
        </w:rPr>
        <w:t xml:space="preserve">continuity </w:t>
      </w:r>
      <w:r w:rsidR="007902C9" w:rsidRPr="002237D5">
        <w:rPr>
          <w:color w:val="auto"/>
          <w:sz w:val="24"/>
          <w:szCs w:val="24"/>
        </w:rPr>
        <w:t xml:space="preserve">and advancement of new members </w:t>
      </w:r>
      <w:r w:rsidR="001953EE" w:rsidRPr="002237D5">
        <w:rPr>
          <w:color w:val="auto"/>
          <w:sz w:val="24"/>
          <w:szCs w:val="24"/>
        </w:rPr>
        <w:t>and may reappoint members for successive terms.</w:t>
      </w:r>
    </w:p>
    <w:p w14:paraId="60502FEF" w14:textId="4F13120A" w:rsidR="00887393" w:rsidRPr="002237D5" w:rsidRDefault="00887393" w:rsidP="00887393">
      <w:pPr>
        <w:ind w:left="360"/>
        <w:jc w:val="both"/>
        <w:rPr>
          <w:color w:val="auto"/>
          <w:sz w:val="24"/>
          <w:szCs w:val="24"/>
        </w:rPr>
      </w:pPr>
    </w:p>
    <w:p w14:paraId="2ADFEBC5" w14:textId="62DE61ED" w:rsidR="00B814B9" w:rsidRPr="002237D5" w:rsidRDefault="00887393" w:rsidP="00FF1447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lastRenderedPageBreak/>
        <w:t>D.</w:t>
      </w:r>
      <w:r w:rsidRPr="002237D5">
        <w:rPr>
          <w:b/>
          <w:bCs w:val="0"/>
          <w:color w:val="auto"/>
          <w:sz w:val="24"/>
          <w:szCs w:val="24"/>
        </w:rPr>
        <w:tab/>
        <w:t xml:space="preserve">Responsibilities of Members. </w:t>
      </w:r>
      <w:r w:rsidRPr="002237D5">
        <w:rPr>
          <w:color w:val="auto"/>
          <w:sz w:val="24"/>
          <w:szCs w:val="24"/>
        </w:rPr>
        <w:t xml:space="preserve">ACAJ members </w:t>
      </w:r>
      <w:r w:rsidR="00FF1447">
        <w:rPr>
          <w:color w:val="auto"/>
          <w:sz w:val="24"/>
          <w:szCs w:val="24"/>
        </w:rPr>
        <w:t>must</w:t>
      </w:r>
      <w:r w:rsidRPr="002237D5">
        <w:rPr>
          <w:color w:val="auto"/>
          <w:sz w:val="24"/>
          <w:szCs w:val="24"/>
        </w:rPr>
        <w:t xml:space="preserve"> attend and actively participate in ACAJ meetings, assist with the administration of ACAJ </w:t>
      </w:r>
      <w:r w:rsidR="00147B47" w:rsidRPr="002237D5">
        <w:rPr>
          <w:color w:val="auto"/>
          <w:sz w:val="24"/>
          <w:szCs w:val="24"/>
        </w:rPr>
        <w:t xml:space="preserve">activities </w:t>
      </w:r>
      <w:r w:rsidRPr="002237D5">
        <w:rPr>
          <w:color w:val="auto"/>
          <w:sz w:val="24"/>
          <w:szCs w:val="24"/>
        </w:rPr>
        <w:t xml:space="preserve">and serve on </w:t>
      </w:r>
      <w:r w:rsidR="00BD72DB" w:rsidRPr="002237D5">
        <w:rPr>
          <w:color w:val="auto"/>
          <w:sz w:val="24"/>
          <w:szCs w:val="24"/>
        </w:rPr>
        <w:t>workgroups</w:t>
      </w:r>
      <w:r w:rsidRPr="002237D5">
        <w:rPr>
          <w:color w:val="auto"/>
          <w:sz w:val="24"/>
          <w:szCs w:val="24"/>
        </w:rPr>
        <w:t xml:space="preserve"> as deemed necessary</w:t>
      </w:r>
      <w:r w:rsidR="00505258" w:rsidRPr="002237D5">
        <w:rPr>
          <w:color w:val="auto"/>
          <w:sz w:val="24"/>
          <w:szCs w:val="24"/>
        </w:rPr>
        <w:t>.</w:t>
      </w:r>
      <w:r w:rsidR="009373A9" w:rsidRPr="002237D5">
        <w:rPr>
          <w:color w:val="auto"/>
          <w:sz w:val="24"/>
          <w:szCs w:val="24"/>
        </w:rPr>
        <w:t xml:space="preserve"> A</w:t>
      </w:r>
      <w:r w:rsidR="00A37915" w:rsidRPr="002237D5">
        <w:rPr>
          <w:color w:val="auto"/>
          <w:sz w:val="24"/>
          <w:szCs w:val="24"/>
        </w:rPr>
        <w:t xml:space="preserve"> member </w:t>
      </w:r>
      <w:r w:rsidR="00B469B7" w:rsidRPr="002237D5">
        <w:rPr>
          <w:color w:val="auto"/>
          <w:sz w:val="24"/>
          <w:szCs w:val="24"/>
        </w:rPr>
        <w:t xml:space="preserve">may </w:t>
      </w:r>
      <w:r w:rsidR="00A37915" w:rsidRPr="002237D5">
        <w:rPr>
          <w:color w:val="auto"/>
          <w:sz w:val="24"/>
          <w:szCs w:val="24"/>
        </w:rPr>
        <w:t xml:space="preserve">designate </w:t>
      </w:r>
      <w:r w:rsidR="00E97B72" w:rsidRPr="002237D5">
        <w:rPr>
          <w:color w:val="auto"/>
          <w:sz w:val="24"/>
          <w:szCs w:val="24"/>
        </w:rPr>
        <w:t>a proxy</w:t>
      </w:r>
      <w:r w:rsidR="00011A42">
        <w:rPr>
          <w:color w:val="auto"/>
          <w:sz w:val="24"/>
          <w:szCs w:val="24"/>
        </w:rPr>
        <w:t xml:space="preserve"> in the manner provided in</w:t>
      </w:r>
      <w:r w:rsidRPr="002237D5">
        <w:rPr>
          <w:color w:val="auto"/>
          <w:sz w:val="24"/>
          <w:szCs w:val="24"/>
        </w:rPr>
        <w:t xml:space="preserve"> ACJA § 1-104</w:t>
      </w:r>
      <w:r w:rsidR="00B814B9" w:rsidRPr="002237D5">
        <w:rPr>
          <w:color w:val="auto"/>
          <w:sz w:val="24"/>
          <w:szCs w:val="24"/>
        </w:rPr>
        <w:t>(D)</w:t>
      </w:r>
      <w:r w:rsidR="000C0AEF" w:rsidRPr="002237D5">
        <w:rPr>
          <w:color w:val="auto"/>
          <w:sz w:val="24"/>
          <w:szCs w:val="24"/>
        </w:rPr>
        <w:t>.</w:t>
      </w:r>
      <w:r w:rsidR="00B814B9" w:rsidRPr="002237D5">
        <w:rPr>
          <w:color w:val="auto"/>
          <w:sz w:val="24"/>
          <w:szCs w:val="24"/>
        </w:rPr>
        <w:t xml:space="preserve"> </w:t>
      </w:r>
    </w:p>
    <w:p w14:paraId="1A3BD777" w14:textId="3BFFA681" w:rsidR="00BD72DB" w:rsidRPr="002237D5" w:rsidRDefault="00BD72DB" w:rsidP="00FF1447">
      <w:pPr>
        <w:ind w:left="450" w:hanging="450"/>
        <w:jc w:val="both"/>
        <w:rPr>
          <w:color w:val="auto"/>
          <w:sz w:val="24"/>
          <w:szCs w:val="24"/>
        </w:rPr>
      </w:pPr>
    </w:p>
    <w:p w14:paraId="04C5A103" w14:textId="767D5663" w:rsidR="00BD72DB" w:rsidRPr="002237D5" w:rsidRDefault="00BD72DB" w:rsidP="00FF1447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E.</w:t>
      </w:r>
      <w:r w:rsidRPr="002237D5">
        <w:rPr>
          <w:b/>
          <w:bCs w:val="0"/>
          <w:color w:val="auto"/>
          <w:sz w:val="24"/>
          <w:szCs w:val="24"/>
        </w:rPr>
        <w:tab/>
        <w:t xml:space="preserve">Organization. </w:t>
      </w:r>
      <w:r w:rsidRPr="002237D5">
        <w:rPr>
          <w:color w:val="auto"/>
          <w:sz w:val="24"/>
          <w:szCs w:val="24"/>
        </w:rPr>
        <w:t xml:space="preserve">The </w:t>
      </w:r>
      <w:r w:rsidR="00C13415" w:rsidRPr="002237D5">
        <w:rPr>
          <w:color w:val="auto"/>
          <w:sz w:val="24"/>
          <w:szCs w:val="24"/>
        </w:rPr>
        <w:t>C</w:t>
      </w:r>
      <w:r w:rsidR="00170760" w:rsidRPr="002237D5">
        <w:rPr>
          <w:color w:val="auto"/>
          <w:sz w:val="24"/>
          <w:szCs w:val="24"/>
        </w:rPr>
        <w:t xml:space="preserve">hief </w:t>
      </w:r>
      <w:r w:rsidR="00C13415" w:rsidRPr="002237D5">
        <w:rPr>
          <w:color w:val="auto"/>
          <w:sz w:val="24"/>
          <w:szCs w:val="24"/>
        </w:rPr>
        <w:t>J</w:t>
      </w:r>
      <w:r w:rsidR="00170760" w:rsidRPr="002237D5">
        <w:rPr>
          <w:color w:val="auto"/>
          <w:sz w:val="24"/>
          <w:szCs w:val="24"/>
        </w:rPr>
        <w:t xml:space="preserve">ustice </w:t>
      </w:r>
      <w:r w:rsidR="00011A42">
        <w:rPr>
          <w:color w:val="auto"/>
          <w:sz w:val="24"/>
          <w:szCs w:val="24"/>
        </w:rPr>
        <w:t>will</w:t>
      </w:r>
      <w:r w:rsidR="00170760" w:rsidRPr="002237D5">
        <w:rPr>
          <w:color w:val="auto"/>
          <w:sz w:val="24"/>
          <w:szCs w:val="24"/>
        </w:rPr>
        <w:t xml:space="preserve"> appoint </w:t>
      </w:r>
      <w:r w:rsidR="001A3FF9" w:rsidRPr="002237D5">
        <w:rPr>
          <w:color w:val="auto"/>
          <w:sz w:val="24"/>
          <w:szCs w:val="24"/>
        </w:rPr>
        <w:t>a</w:t>
      </w:r>
      <w:r w:rsidR="00BA4D44" w:rsidRPr="002237D5">
        <w:rPr>
          <w:color w:val="auto"/>
          <w:sz w:val="24"/>
          <w:szCs w:val="24"/>
        </w:rPr>
        <w:t xml:space="preserve"> chair </w:t>
      </w:r>
      <w:r w:rsidR="00D47ED3">
        <w:rPr>
          <w:color w:val="auto"/>
          <w:sz w:val="24"/>
          <w:szCs w:val="24"/>
        </w:rPr>
        <w:t xml:space="preserve">and vice-chair </w:t>
      </w:r>
      <w:r w:rsidR="00BA4D44" w:rsidRPr="002237D5">
        <w:rPr>
          <w:color w:val="auto"/>
          <w:sz w:val="24"/>
          <w:szCs w:val="24"/>
        </w:rPr>
        <w:t xml:space="preserve">of </w:t>
      </w:r>
      <w:r w:rsidR="00B920BB" w:rsidRPr="002237D5">
        <w:rPr>
          <w:color w:val="auto"/>
          <w:sz w:val="24"/>
          <w:szCs w:val="24"/>
        </w:rPr>
        <w:t xml:space="preserve">the </w:t>
      </w:r>
      <w:r w:rsidR="00BA4D44" w:rsidRPr="002237D5">
        <w:rPr>
          <w:color w:val="auto"/>
          <w:sz w:val="24"/>
          <w:szCs w:val="24"/>
        </w:rPr>
        <w:t xml:space="preserve">ACAJ. The </w:t>
      </w:r>
      <w:r w:rsidRPr="002237D5">
        <w:rPr>
          <w:color w:val="auto"/>
          <w:sz w:val="24"/>
          <w:szCs w:val="24"/>
        </w:rPr>
        <w:t xml:space="preserve">chair may appoint </w:t>
      </w:r>
      <w:r w:rsidR="00FF615D" w:rsidRPr="002237D5">
        <w:rPr>
          <w:color w:val="auto"/>
          <w:sz w:val="24"/>
          <w:szCs w:val="24"/>
        </w:rPr>
        <w:t>workgroups</w:t>
      </w:r>
      <w:r w:rsidR="00BE0B95" w:rsidRPr="002237D5">
        <w:rPr>
          <w:color w:val="auto"/>
          <w:sz w:val="24"/>
          <w:szCs w:val="24"/>
        </w:rPr>
        <w:t>, task forces</w:t>
      </w:r>
      <w:r w:rsidR="00B44E01" w:rsidRPr="002237D5">
        <w:rPr>
          <w:color w:val="auto"/>
          <w:sz w:val="24"/>
          <w:szCs w:val="24"/>
        </w:rPr>
        <w:t>,</w:t>
      </w:r>
      <w:r w:rsidR="00BE0B95" w:rsidRPr="002237D5">
        <w:rPr>
          <w:color w:val="auto"/>
          <w:sz w:val="24"/>
          <w:szCs w:val="24"/>
        </w:rPr>
        <w:t xml:space="preserve"> or other ACAJ undertakings </w:t>
      </w:r>
      <w:r w:rsidR="004D5F19">
        <w:rPr>
          <w:color w:val="auto"/>
          <w:sz w:val="24"/>
          <w:szCs w:val="24"/>
        </w:rPr>
        <w:t xml:space="preserve">of </w:t>
      </w:r>
      <w:r w:rsidR="00B671EF" w:rsidRPr="002237D5">
        <w:rPr>
          <w:color w:val="auto"/>
          <w:sz w:val="24"/>
          <w:szCs w:val="24"/>
        </w:rPr>
        <w:t xml:space="preserve">both </w:t>
      </w:r>
      <w:r w:rsidR="00FF615D" w:rsidRPr="002237D5">
        <w:rPr>
          <w:color w:val="auto"/>
          <w:sz w:val="24"/>
          <w:szCs w:val="24"/>
        </w:rPr>
        <w:t xml:space="preserve">ACAJ </w:t>
      </w:r>
      <w:r w:rsidRPr="002237D5">
        <w:rPr>
          <w:color w:val="auto"/>
          <w:sz w:val="24"/>
          <w:szCs w:val="24"/>
        </w:rPr>
        <w:t xml:space="preserve">members </w:t>
      </w:r>
      <w:r w:rsidR="00B671EF" w:rsidRPr="002237D5">
        <w:rPr>
          <w:color w:val="auto"/>
          <w:sz w:val="24"/>
          <w:szCs w:val="24"/>
        </w:rPr>
        <w:t xml:space="preserve">and </w:t>
      </w:r>
      <w:r w:rsidR="004D5F19">
        <w:rPr>
          <w:color w:val="auto"/>
          <w:sz w:val="24"/>
          <w:szCs w:val="24"/>
        </w:rPr>
        <w:t>non-members</w:t>
      </w:r>
      <w:r w:rsidR="00D553B8" w:rsidRPr="002237D5">
        <w:rPr>
          <w:color w:val="auto"/>
          <w:sz w:val="24"/>
          <w:szCs w:val="24"/>
        </w:rPr>
        <w:t xml:space="preserve"> </w:t>
      </w:r>
      <w:r w:rsidR="00FF615D" w:rsidRPr="002237D5">
        <w:rPr>
          <w:color w:val="auto"/>
          <w:sz w:val="24"/>
          <w:szCs w:val="24"/>
        </w:rPr>
        <w:t xml:space="preserve">as necessary to </w:t>
      </w:r>
      <w:r w:rsidR="00C154FB">
        <w:rPr>
          <w:color w:val="auto"/>
          <w:sz w:val="24"/>
          <w:szCs w:val="24"/>
        </w:rPr>
        <w:t>help</w:t>
      </w:r>
      <w:r w:rsidR="007B7CF9" w:rsidRPr="002237D5">
        <w:rPr>
          <w:color w:val="auto"/>
          <w:sz w:val="24"/>
          <w:szCs w:val="24"/>
        </w:rPr>
        <w:t xml:space="preserve"> the </w:t>
      </w:r>
      <w:r w:rsidR="009E3AD0" w:rsidRPr="002237D5">
        <w:rPr>
          <w:color w:val="auto"/>
          <w:sz w:val="24"/>
          <w:szCs w:val="24"/>
        </w:rPr>
        <w:t xml:space="preserve">ACAJ </w:t>
      </w:r>
      <w:r w:rsidR="007B7CF9" w:rsidRPr="002237D5">
        <w:rPr>
          <w:color w:val="auto"/>
          <w:sz w:val="24"/>
          <w:szCs w:val="24"/>
        </w:rPr>
        <w:t xml:space="preserve">carry out its </w:t>
      </w:r>
      <w:r w:rsidR="00D9484E" w:rsidRPr="002237D5">
        <w:rPr>
          <w:color w:val="auto"/>
          <w:sz w:val="24"/>
          <w:szCs w:val="24"/>
        </w:rPr>
        <w:t>responsibilities.</w:t>
      </w:r>
    </w:p>
    <w:p w14:paraId="2CBEAD15" w14:textId="77777777" w:rsidR="00D9484E" w:rsidRPr="002237D5" w:rsidRDefault="00D9484E" w:rsidP="00FF1447">
      <w:pPr>
        <w:ind w:left="450" w:hanging="450"/>
        <w:jc w:val="both"/>
        <w:rPr>
          <w:color w:val="auto"/>
          <w:sz w:val="24"/>
          <w:szCs w:val="24"/>
        </w:rPr>
      </w:pPr>
    </w:p>
    <w:p w14:paraId="2A02D2ED" w14:textId="4E37323F" w:rsidR="00D9484E" w:rsidRPr="002237D5" w:rsidRDefault="00D9484E" w:rsidP="00FF1447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F.</w:t>
      </w:r>
      <w:r w:rsidRPr="002237D5">
        <w:rPr>
          <w:b/>
          <w:bCs w:val="0"/>
          <w:color w:val="auto"/>
          <w:sz w:val="24"/>
          <w:szCs w:val="24"/>
        </w:rPr>
        <w:tab/>
        <w:t xml:space="preserve">Meetings. </w:t>
      </w:r>
      <w:r w:rsidR="006616CC" w:rsidRPr="002237D5">
        <w:rPr>
          <w:color w:val="auto"/>
          <w:sz w:val="24"/>
          <w:szCs w:val="24"/>
        </w:rPr>
        <w:t>The</w:t>
      </w:r>
      <w:r w:rsidR="006616CC" w:rsidRPr="002237D5">
        <w:rPr>
          <w:b/>
          <w:bCs w:val="0"/>
          <w:color w:val="auto"/>
          <w:sz w:val="24"/>
          <w:szCs w:val="24"/>
        </w:rPr>
        <w:t xml:space="preserve"> </w:t>
      </w:r>
      <w:r w:rsidRPr="002237D5">
        <w:rPr>
          <w:color w:val="auto"/>
          <w:sz w:val="24"/>
          <w:szCs w:val="24"/>
        </w:rPr>
        <w:t xml:space="preserve">ACAJ </w:t>
      </w:r>
      <w:r w:rsidR="00C154FB">
        <w:rPr>
          <w:color w:val="auto"/>
          <w:sz w:val="24"/>
          <w:szCs w:val="24"/>
        </w:rPr>
        <w:t>must</w:t>
      </w:r>
      <w:r w:rsidRPr="002237D5">
        <w:rPr>
          <w:color w:val="auto"/>
          <w:sz w:val="24"/>
          <w:szCs w:val="24"/>
        </w:rPr>
        <w:t xml:space="preserve"> meet no less than </w:t>
      </w:r>
      <w:r w:rsidR="006616CC" w:rsidRPr="002237D5">
        <w:rPr>
          <w:color w:val="auto"/>
          <w:sz w:val="24"/>
          <w:szCs w:val="24"/>
        </w:rPr>
        <w:t xml:space="preserve">three times </w:t>
      </w:r>
      <w:r w:rsidR="00C154FB">
        <w:rPr>
          <w:color w:val="auto"/>
          <w:sz w:val="24"/>
          <w:szCs w:val="24"/>
        </w:rPr>
        <w:t>each calendar</w:t>
      </w:r>
      <w:r w:rsidRPr="002237D5">
        <w:rPr>
          <w:color w:val="auto"/>
          <w:sz w:val="24"/>
          <w:szCs w:val="24"/>
        </w:rPr>
        <w:t xml:space="preserve"> year. </w:t>
      </w:r>
      <w:r w:rsidR="00365B8D">
        <w:rPr>
          <w:color w:val="auto"/>
          <w:sz w:val="24"/>
          <w:szCs w:val="24"/>
        </w:rPr>
        <w:t>Additional meeting</w:t>
      </w:r>
      <w:r w:rsidR="00AD2A06">
        <w:rPr>
          <w:color w:val="auto"/>
          <w:sz w:val="24"/>
          <w:szCs w:val="24"/>
        </w:rPr>
        <w:t>s</w:t>
      </w:r>
      <w:r w:rsidR="00365B8D">
        <w:rPr>
          <w:color w:val="auto"/>
          <w:sz w:val="24"/>
          <w:szCs w:val="24"/>
        </w:rPr>
        <w:t xml:space="preserve"> may be held on the call of the chair or by </w:t>
      </w:r>
      <w:r w:rsidR="00847331" w:rsidRPr="002237D5">
        <w:rPr>
          <w:color w:val="auto"/>
          <w:sz w:val="24"/>
          <w:szCs w:val="24"/>
        </w:rPr>
        <w:t>majority vote of ACAJ members</w:t>
      </w:r>
      <w:r w:rsidR="007973B9" w:rsidRPr="002237D5">
        <w:rPr>
          <w:color w:val="auto"/>
          <w:sz w:val="24"/>
          <w:szCs w:val="24"/>
        </w:rPr>
        <w:t xml:space="preserve">. </w:t>
      </w:r>
      <w:r w:rsidRPr="002237D5">
        <w:rPr>
          <w:color w:val="auto"/>
          <w:sz w:val="24"/>
          <w:szCs w:val="24"/>
        </w:rPr>
        <w:t xml:space="preserve">All meetings </w:t>
      </w:r>
      <w:r w:rsidR="00723A41" w:rsidRPr="002237D5">
        <w:rPr>
          <w:color w:val="auto"/>
          <w:sz w:val="24"/>
          <w:szCs w:val="24"/>
        </w:rPr>
        <w:t xml:space="preserve">of the ACAJ </w:t>
      </w:r>
      <w:r w:rsidR="008D556F">
        <w:rPr>
          <w:color w:val="auto"/>
          <w:sz w:val="24"/>
          <w:szCs w:val="24"/>
        </w:rPr>
        <w:t>must</w:t>
      </w:r>
      <w:r w:rsidR="00427E77" w:rsidRPr="002237D5">
        <w:rPr>
          <w:color w:val="auto"/>
          <w:sz w:val="24"/>
          <w:szCs w:val="24"/>
        </w:rPr>
        <w:t xml:space="preserve"> be noticed and open to the public.</w:t>
      </w:r>
      <w:r w:rsidRPr="002237D5">
        <w:rPr>
          <w:color w:val="auto"/>
          <w:sz w:val="24"/>
          <w:szCs w:val="24"/>
        </w:rPr>
        <w:t xml:space="preserve"> </w:t>
      </w:r>
    </w:p>
    <w:p w14:paraId="49628ED6" w14:textId="75E3B126" w:rsidR="00D9484E" w:rsidRPr="002237D5" w:rsidRDefault="00D9484E" w:rsidP="00D9484E">
      <w:pPr>
        <w:ind w:left="360"/>
        <w:jc w:val="both"/>
        <w:rPr>
          <w:color w:val="auto"/>
          <w:sz w:val="24"/>
          <w:szCs w:val="24"/>
        </w:rPr>
      </w:pPr>
    </w:p>
    <w:p w14:paraId="650E7F2E" w14:textId="308487D2" w:rsidR="004E44D7" w:rsidRPr="002237D5" w:rsidRDefault="004E44D7" w:rsidP="00FF1447">
      <w:p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1.</w:t>
      </w:r>
      <w:r w:rsidRPr="002237D5">
        <w:rPr>
          <w:color w:val="auto"/>
          <w:sz w:val="24"/>
          <w:szCs w:val="24"/>
        </w:rPr>
        <w:tab/>
        <w:t xml:space="preserve">Quorum. A simple majority (50% + 1) of the current </w:t>
      </w:r>
      <w:r w:rsidR="002C1848" w:rsidRPr="002237D5">
        <w:rPr>
          <w:color w:val="auto"/>
          <w:sz w:val="24"/>
          <w:szCs w:val="24"/>
        </w:rPr>
        <w:t xml:space="preserve">ACAJ </w:t>
      </w:r>
      <w:r w:rsidRPr="002237D5">
        <w:rPr>
          <w:color w:val="auto"/>
          <w:sz w:val="24"/>
          <w:szCs w:val="24"/>
        </w:rPr>
        <w:t>membership constitute</w:t>
      </w:r>
      <w:r w:rsidR="004F33C2">
        <w:rPr>
          <w:color w:val="auto"/>
          <w:sz w:val="24"/>
          <w:szCs w:val="24"/>
        </w:rPr>
        <w:t>s</w:t>
      </w:r>
      <w:r w:rsidRPr="002237D5">
        <w:rPr>
          <w:color w:val="auto"/>
          <w:sz w:val="24"/>
          <w:szCs w:val="24"/>
        </w:rPr>
        <w:t xml:space="preserve"> a quorum.</w:t>
      </w:r>
    </w:p>
    <w:p w14:paraId="783206F0" w14:textId="77777777" w:rsidR="004E44D7" w:rsidRPr="002237D5" w:rsidRDefault="004E44D7" w:rsidP="00FF1447">
      <w:pPr>
        <w:ind w:left="900" w:hanging="450"/>
        <w:jc w:val="both"/>
        <w:rPr>
          <w:color w:val="auto"/>
          <w:sz w:val="24"/>
          <w:szCs w:val="24"/>
        </w:rPr>
      </w:pPr>
    </w:p>
    <w:p w14:paraId="32410F5D" w14:textId="65E5FA68" w:rsidR="004E44D7" w:rsidRPr="002237D5" w:rsidRDefault="004E44D7" w:rsidP="00FF1447">
      <w:pPr>
        <w:ind w:left="900" w:hanging="450"/>
        <w:jc w:val="both"/>
        <w:rPr>
          <w:color w:val="auto"/>
          <w:sz w:val="24"/>
          <w:szCs w:val="24"/>
        </w:rPr>
      </w:pPr>
      <w:r w:rsidRPr="002237D5">
        <w:rPr>
          <w:color w:val="auto"/>
          <w:sz w:val="24"/>
          <w:szCs w:val="24"/>
        </w:rPr>
        <w:t>2.</w:t>
      </w:r>
      <w:r w:rsidRPr="002237D5">
        <w:rPr>
          <w:color w:val="auto"/>
          <w:sz w:val="24"/>
          <w:szCs w:val="24"/>
        </w:rPr>
        <w:tab/>
        <w:t xml:space="preserve">Virtual Attendance (attendance by remote electronic means). The </w:t>
      </w:r>
      <w:r w:rsidR="00300318" w:rsidRPr="002237D5">
        <w:rPr>
          <w:color w:val="auto"/>
          <w:sz w:val="24"/>
          <w:szCs w:val="24"/>
        </w:rPr>
        <w:t xml:space="preserve">ACAJ </w:t>
      </w:r>
      <w:r w:rsidRPr="002237D5">
        <w:rPr>
          <w:color w:val="auto"/>
          <w:sz w:val="24"/>
          <w:szCs w:val="24"/>
        </w:rPr>
        <w:t>chair may designate a meeting as a virtual attendance meeting. Otherwise</w:t>
      </w:r>
      <w:r w:rsidR="00BC7092">
        <w:rPr>
          <w:color w:val="auto"/>
          <w:sz w:val="24"/>
          <w:szCs w:val="24"/>
        </w:rPr>
        <w:t>,</w:t>
      </w:r>
      <w:r w:rsidR="008C2185" w:rsidRPr="002237D5">
        <w:rPr>
          <w:color w:val="auto"/>
          <w:sz w:val="24"/>
          <w:szCs w:val="24"/>
        </w:rPr>
        <w:t xml:space="preserve"> ACAJ </w:t>
      </w:r>
      <w:r w:rsidRPr="002237D5">
        <w:rPr>
          <w:color w:val="auto"/>
          <w:sz w:val="24"/>
          <w:szCs w:val="24"/>
        </w:rPr>
        <w:t>members may virtually attend meeting</w:t>
      </w:r>
      <w:r w:rsidR="00BC7092">
        <w:rPr>
          <w:color w:val="auto"/>
          <w:sz w:val="24"/>
          <w:szCs w:val="24"/>
        </w:rPr>
        <w:t>s</w:t>
      </w:r>
      <w:r w:rsidRPr="002237D5">
        <w:rPr>
          <w:color w:val="auto"/>
          <w:sz w:val="24"/>
          <w:szCs w:val="24"/>
        </w:rPr>
        <w:t xml:space="preserve"> with prior approval of the chair. Staff </w:t>
      </w:r>
      <w:r w:rsidR="00DC184B">
        <w:rPr>
          <w:color w:val="auto"/>
          <w:sz w:val="24"/>
          <w:szCs w:val="24"/>
        </w:rPr>
        <w:t>must</w:t>
      </w:r>
      <w:r w:rsidRPr="002237D5">
        <w:rPr>
          <w:color w:val="auto"/>
          <w:sz w:val="24"/>
          <w:szCs w:val="24"/>
        </w:rPr>
        <w:t xml:space="preserve"> ensure public access to the virtual meeting.</w:t>
      </w:r>
    </w:p>
    <w:p w14:paraId="04F7251A" w14:textId="77777777" w:rsidR="004E44D7" w:rsidRPr="002237D5" w:rsidRDefault="004E44D7" w:rsidP="004E44D7">
      <w:pPr>
        <w:ind w:left="720" w:hanging="360"/>
        <w:jc w:val="both"/>
        <w:rPr>
          <w:color w:val="auto"/>
          <w:sz w:val="24"/>
          <w:szCs w:val="24"/>
        </w:rPr>
      </w:pPr>
    </w:p>
    <w:p w14:paraId="0E168483" w14:textId="364475D8" w:rsidR="00ED5CDC" w:rsidRPr="002237D5" w:rsidRDefault="00ED5CDC" w:rsidP="0061318C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G.</w:t>
      </w:r>
      <w:r w:rsidR="0061318C" w:rsidRPr="002237D5">
        <w:rPr>
          <w:b/>
          <w:bCs w:val="0"/>
          <w:color w:val="auto"/>
          <w:sz w:val="24"/>
          <w:szCs w:val="24"/>
        </w:rPr>
        <w:tab/>
      </w:r>
      <w:r w:rsidRPr="002237D5">
        <w:rPr>
          <w:b/>
          <w:bCs w:val="0"/>
          <w:color w:val="auto"/>
          <w:sz w:val="24"/>
          <w:szCs w:val="24"/>
        </w:rPr>
        <w:t xml:space="preserve">Actions. </w:t>
      </w:r>
      <w:r w:rsidRPr="002237D5">
        <w:rPr>
          <w:color w:val="auto"/>
          <w:sz w:val="24"/>
          <w:szCs w:val="24"/>
        </w:rPr>
        <w:t>Approval of a majority of those voting constitute</w:t>
      </w:r>
      <w:r w:rsidR="004F33C2">
        <w:rPr>
          <w:color w:val="auto"/>
          <w:sz w:val="24"/>
          <w:szCs w:val="24"/>
        </w:rPr>
        <w:t>s</w:t>
      </w:r>
      <w:r w:rsidRPr="002237D5">
        <w:rPr>
          <w:color w:val="auto"/>
          <w:sz w:val="24"/>
          <w:szCs w:val="24"/>
        </w:rPr>
        <w:t xml:space="preserve"> an action of the </w:t>
      </w:r>
      <w:r w:rsidR="008C2185" w:rsidRPr="002237D5">
        <w:rPr>
          <w:color w:val="auto"/>
          <w:sz w:val="24"/>
          <w:szCs w:val="24"/>
        </w:rPr>
        <w:t>ACAJ</w:t>
      </w:r>
      <w:r w:rsidRPr="002237D5">
        <w:rPr>
          <w:color w:val="auto"/>
          <w:sz w:val="24"/>
          <w:szCs w:val="24"/>
        </w:rPr>
        <w:t xml:space="preserve">. </w:t>
      </w:r>
    </w:p>
    <w:p w14:paraId="10E65A61" w14:textId="3B0FE874" w:rsidR="00887393" w:rsidRPr="002237D5" w:rsidRDefault="00887393" w:rsidP="004E44D7">
      <w:pPr>
        <w:ind w:left="720" w:hanging="360"/>
        <w:jc w:val="both"/>
        <w:rPr>
          <w:color w:val="auto"/>
          <w:sz w:val="24"/>
          <w:szCs w:val="24"/>
        </w:rPr>
      </w:pPr>
    </w:p>
    <w:p w14:paraId="7025E4F9" w14:textId="79140F64" w:rsidR="001344F3" w:rsidRPr="002237D5" w:rsidRDefault="00ED5CDC" w:rsidP="00ED5CDC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H.</w:t>
      </w:r>
      <w:r w:rsidRPr="002237D5">
        <w:rPr>
          <w:b/>
          <w:bCs w:val="0"/>
          <w:color w:val="auto"/>
          <w:sz w:val="24"/>
          <w:szCs w:val="24"/>
        </w:rPr>
        <w:tab/>
      </w:r>
      <w:r w:rsidR="001344F3" w:rsidRPr="002237D5">
        <w:rPr>
          <w:b/>
          <w:bCs w:val="0"/>
          <w:color w:val="auto"/>
          <w:sz w:val="24"/>
          <w:szCs w:val="24"/>
        </w:rPr>
        <w:t>Staff.</w:t>
      </w:r>
      <w:r w:rsidR="001344F3" w:rsidRPr="002237D5">
        <w:rPr>
          <w:color w:val="auto"/>
          <w:sz w:val="24"/>
          <w:szCs w:val="24"/>
        </w:rPr>
        <w:t xml:space="preserve"> </w:t>
      </w:r>
      <w:r w:rsidR="00491EF2" w:rsidRPr="002237D5">
        <w:rPr>
          <w:color w:val="auto"/>
          <w:sz w:val="24"/>
          <w:szCs w:val="24"/>
        </w:rPr>
        <w:t xml:space="preserve">Under the direction of the </w:t>
      </w:r>
      <w:r w:rsidR="00C13415" w:rsidRPr="002237D5">
        <w:rPr>
          <w:color w:val="auto"/>
          <w:sz w:val="24"/>
          <w:szCs w:val="24"/>
        </w:rPr>
        <w:t>C</w:t>
      </w:r>
      <w:r w:rsidR="00491EF2" w:rsidRPr="002237D5">
        <w:rPr>
          <w:color w:val="auto"/>
          <w:sz w:val="24"/>
          <w:szCs w:val="24"/>
        </w:rPr>
        <w:t xml:space="preserve">hief </w:t>
      </w:r>
      <w:r w:rsidR="00C13415" w:rsidRPr="002237D5">
        <w:rPr>
          <w:color w:val="auto"/>
          <w:sz w:val="24"/>
          <w:szCs w:val="24"/>
        </w:rPr>
        <w:t>J</w:t>
      </w:r>
      <w:r w:rsidR="00491EF2" w:rsidRPr="002237D5">
        <w:rPr>
          <w:color w:val="auto"/>
          <w:sz w:val="24"/>
          <w:szCs w:val="24"/>
        </w:rPr>
        <w:t>ustice, t</w:t>
      </w:r>
      <w:r w:rsidR="001344F3" w:rsidRPr="002237D5">
        <w:rPr>
          <w:color w:val="auto"/>
          <w:sz w:val="24"/>
          <w:szCs w:val="24"/>
        </w:rPr>
        <w:t xml:space="preserve">he </w:t>
      </w:r>
      <w:r w:rsidR="009446C8" w:rsidRPr="002237D5">
        <w:rPr>
          <w:color w:val="auto"/>
          <w:sz w:val="24"/>
          <w:szCs w:val="24"/>
        </w:rPr>
        <w:t>Administrative Office of the Courts (AOC</w:t>
      </w:r>
      <w:r w:rsidR="00AC4251" w:rsidRPr="002237D5">
        <w:rPr>
          <w:color w:val="auto"/>
          <w:sz w:val="24"/>
          <w:szCs w:val="24"/>
        </w:rPr>
        <w:t>)</w:t>
      </w:r>
      <w:r w:rsidR="009446C8" w:rsidRPr="002237D5">
        <w:rPr>
          <w:color w:val="auto"/>
          <w:sz w:val="24"/>
          <w:szCs w:val="24"/>
        </w:rPr>
        <w:t xml:space="preserve"> </w:t>
      </w:r>
      <w:r w:rsidR="004F33C2">
        <w:rPr>
          <w:color w:val="auto"/>
          <w:sz w:val="24"/>
          <w:szCs w:val="24"/>
        </w:rPr>
        <w:t>will</w:t>
      </w:r>
      <w:r w:rsidR="001344F3" w:rsidRPr="002237D5">
        <w:rPr>
          <w:color w:val="auto"/>
          <w:sz w:val="24"/>
          <w:szCs w:val="24"/>
        </w:rPr>
        <w:t xml:space="preserve"> provide staff for the </w:t>
      </w:r>
      <w:r w:rsidR="003E0071" w:rsidRPr="002237D5">
        <w:rPr>
          <w:color w:val="auto"/>
          <w:sz w:val="24"/>
          <w:szCs w:val="24"/>
        </w:rPr>
        <w:t xml:space="preserve">ACAJ </w:t>
      </w:r>
      <w:r w:rsidR="001344F3" w:rsidRPr="002237D5">
        <w:rPr>
          <w:color w:val="auto"/>
          <w:sz w:val="24"/>
          <w:szCs w:val="24"/>
        </w:rPr>
        <w:t>and</w:t>
      </w:r>
      <w:r w:rsidR="002C5CB7" w:rsidRPr="002237D5">
        <w:rPr>
          <w:color w:val="auto"/>
          <w:sz w:val="24"/>
          <w:szCs w:val="24"/>
        </w:rPr>
        <w:t>, as feasible,</w:t>
      </w:r>
      <w:r w:rsidR="001344F3" w:rsidRPr="002237D5">
        <w:rPr>
          <w:color w:val="auto"/>
          <w:sz w:val="24"/>
          <w:szCs w:val="24"/>
        </w:rPr>
        <w:t xml:space="preserve"> may conduct or coordinate research as recommended by the </w:t>
      </w:r>
      <w:r w:rsidR="003E0071" w:rsidRPr="002237D5">
        <w:rPr>
          <w:color w:val="auto"/>
          <w:sz w:val="24"/>
          <w:szCs w:val="24"/>
        </w:rPr>
        <w:t>ACAJ</w:t>
      </w:r>
      <w:r w:rsidR="001344F3" w:rsidRPr="002237D5">
        <w:rPr>
          <w:color w:val="auto"/>
          <w:sz w:val="24"/>
          <w:szCs w:val="24"/>
        </w:rPr>
        <w:t>.</w:t>
      </w:r>
    </w:p>
    <w:p w14:paraId="78CE04F6" w14:textId="77777777" w:rsidR="001344F3" w:rsidRPr="002237D5" w:rsidRDefault="001344F3" w:rsidP="00ED5CDC">
      <w:pPr>
        <w:ind w:left="450" w:hanging="450"/>
        <w:jc w:val="both"/>
        <w:rPr>
          <w:b/>
          <w:bCs w:val="0"/>
          <w:color w:val="auto"/>
          <w:sz w:val="24"/>
          <w:szCs w:val="24"/>
        </w:rPr>
      </w:pPr>
    </w:p>
    <w:p w14:paraId="12A14FC6" w14:textId="4FA2BFF2" w:rsidR="00887393" w:rsidRPr="002237D5" w:rsidRDefault="001344F3" w:rsidP="00ED5CDC">
      <w:pPr>
        <w:ind w:left="450" w:hanging="450"/>
        <w:jc w:val="both"/>
        <w:rPr>
          <w:color w:val="auto"/>
          <w:sz w:val="24"/>
          <w:szCs w:val="24"/>
        </w:rPr>
      </w:pPr>
      <w:r w:rsidRPr="002237D5">
        <w:rPr>
          <w:b/>
          <w:bCs w:val="0"/>
          <w:color w:val="auto"/>
          <w:sz w:val="24"/>
          <w:szCs w:val="24"/>
        </w:rPr>
        <w:t>I.</w:t>
      </w:r>
      <w:r w:rsidRPr="002237D5">
        <w:rPr>
          <w:b/>
          <w:bCs w:val="0"/>
          <w:color w:val="auto"/>
          <w:sz w:val="24"/>
          <w:szCs w:val="24"/>
        </w:rPr>
        <w:tab/>
      </w:r>
      <w:r w:rsidR="00ED5CDC" w:rsidRPr="002237D5">
        <w:rPr>
          <w:b/>
          <w:bCs w:val="0"/>
          <w:color w:val="auto"/>
          <w:sz w:val="24"/>
          <w:szCs w:val="24"/>
        </w:rPr>
        <w:t xml:space="preserve">Funding. </w:t>
      </w:r>
      <w:r w:rsidR="00ED5CDC" w:rsidRPr="002237D5">
        <w:rPr>
          <w:color w:val="auto"/>
          <w:sz w:val="24"/>
          <w:szCs w:val="24"/>
        </w:rPr>
        <w:t xml:space="preserve">The </w:t>
      </w:r>
      <w:r w:rsidR="003E0071" w:rsidRPr="002237D5">
        <w:rPr>
          <w:color w:val="auto"/>
          <w:sz w:val="24"/>
          <w:szCs w:val="24"/>
        </w:rPr>
        <w:t>ACAJ</w:t>
      </w:r>
      <w:r w:rsidR="00ED5CDC" w:rsidRPr="002237D5">
        <w:rPr>
          <w:color w:val="auto"/>
          <w:sz w:val="24"/>
          <w:szCs w:val="24"/>
        </w:rPr>
        <w:t>, with the assistance of the AOC, may seek grant funding from local, state</w:t>
      </w:r>
      <w:r w:rsidR="009B541C" w:rsidRPr="002237D5">
        <w:rPr>
          <w:color w:val="auto"/>
          <w:sz w:val="24"/>
          <w:szCs w:val="24"/>
        </w:rPr>
        <w:t>,</w:t>
      </w:r>
      <w:r w:rsidR="00ED5CDC" w:rsidRPr="002237D5">
        <w:rPr>
          <w:color w:val="auto"/>
          <w:sz w:val="24"/>
          <w:szCs w:val="24"/>
        </w:rPr>
        <w:t xml:space="preserve"> and national organizations for its expenses of operation, including expert advice and consultations. To the extent funds are allocated by the director of the AOC for this purpose, </w:t>
      </w:r>
      <w:r w:rsidR="006A2642">
        <w:rPr>
          <w:color w:val="auto"/>
          <w:sz w:val="24"/>
          <w:szCs w:val="24"/>
        </w:rPr>
        <w:t>s</w:t>
      </w:r>
      <w:r w:rsidR="00ED5CDC" w:rsidRPr="002237D5">
        <w:rPr>
          <w:color w:val="auto"/>
          <w:sz w:val="24"/>
          <w:szCs w:val="24"/>
        </w:rPr>
        <w:t xml:space="preserve">upreme </w:t>
      </w:r>
      <w:r w:rsidR="006A2642">
        <w:rPr>
          <w:color w:val="auto"/>
          <w:sz w:val="24"/>
          <w:szCs w:val="24"/>
        </w:rPr>
        <w:t>c</w:t>
      </w:r>
      <w:r w:rsidR="00ED5CDC" w:rsidRPr="002237D5">
        <w:rPr>
          <w:color w:val="auto"/>
          <w:sz w:val="24"/>
          <w:szCs w:val="24"/>
        </w:rPr>
        <w:t xml:space="preserve">ourt funds may also be used to partially or fully fund the </w:t>
      </w:r>
      <w:r w:rsidR="00786B8A" w:rsidRPr="002237D5">
        <w:rPr>
          <w:color w:val="auto"/>
          <w:sz w:val="24"/>
          <w:szCs w:val="24"/>
        </w:rPr>
        <w:t xml:space="preserve">ACAJ’s </w:t>
      </w:r>
      <w:r w:rsidR="00ED5CDC" w:rsidRPr="002237D5">
        <w:rPr>
          <w:color w:val="auto"/>
          <w:sz w:val="24"/>
          <w:szCs w:val="24"/>
        </w:rPr>
        <w:t>expenses.</w:t>
      </w:r>
    </w:p>
    <w:sectPr w:rsidR="00887393" w:rsidRPr="002237D5" w:rsidSect="00B928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1F78" w14:textId="77777777" w:rsidR="006A0075" w:rsidRDefault="006A0075" w:rsidP="001344F3">
      <w:r>
        <w:separator/>
      </w:r>
    </w:p>
  </w:endnote>
  <w:endnote w:type="continuationSeparator" w:id="0">
    <w:p w14:paraId="77549297" w14:textId="77777777" w:rsidR="006A0075" w:rsidRDefault="006A0075" w:rsidP="0013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D6CA" w14:textId="77777777" w:rsidR="009D704A" w:rsidRDefault="009D7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7004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3C3A5A" w14:textId="38CDD257" w:rsidR="009D704A" w:rsidRDefault="009D704A">
        <w:pPr>
          <w:pStyle w:val="Footer"/>
          <w:jc w:val="center"/>
        </w:pPr>
        <w:r w:rsidRPr="00311428">
          <w:rPr>
            <w:color w:val="auto"/>
            <w:sz w:val="22"/>
            <w:szCs w:val="22"/>
          </w:rPr>
          <w:fldChar w:fldCharType="begin"/>
        </w:r>
        <w:r w:rsidRPr="00311428">
          <w:rPr>
            <w:color w:val="auto"/>
            <w:sz w:val="22"/>
            <w:szCs w:val="22"/>
          </w:rPr>
          <w:instrText xml:space="preserve"> PAGE   \* MERGEFORMAT </w:instrText>
        </w:r>
        <w:r w:rsidRPr="00311428">
          <w:rPr>
            <w:color w:val="auto"/>
            <w:sz w:val="22"/>
            <w:szCs w:val="22"/>
          </w:rPr>
          <w:fldChar w:fldCharType="separate"/>
        </w:r>
        <w:r w:rsidRPr="00311428">
          <w:rPr>
            <w:noProof/>
            <w:color w:val="auto"/>
            <w:sz w:val="22"/>
            <w:szCs w:val="22"/>
          </w:rPr>
          <w:t>2</w:t>
        </w:r>
        <w:r w:rsidRPr="00311428">
          <w:rPr>
            <w:noProof/>
            <w:color w:val="auto"/>
            <w:sz w:val="22"/>
            <w:szCs w:val="22"/>
          </w:rPr>
          <w:fldChar w:fldCharType="end"/>
        </w:r>
      </w:p>
    </w:sdtContent>
  </w:sdt>
  <w:p w14:paraId="16C179D1" w14:textId="77777777" w:rsidR="009D704A" w:rsidRDefault="009D7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53A1" w14:textId="77777777" w:rsidR="009D704A" w:rsidRDefault="009D7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7BC8" w14:textId="77777777" w:rsidR="006A0075" w:rsidRDefault="006A0075" w:rsidP="001344F3">
      <w:r>
        <w:separator/>
      </w:r>
    </w:p>
  </w:footnote>
  <w:footnote w:type="continuationSeparator" w:id="0">
    <w:p w14:paraId="7DE0F0F1" w14:textId="77777777" w:rsidR="006A0075" w:rsidRDefault="006A0075" w:rsidP="00134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8300" w14:textId="77777777" w:rsidR="009D704A" w:rsidRDefault="009D7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15A6E" w14:textId="77777777" w:rsidR="009D704A" w:rsidRDefault="009D7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95AC" w14:textId="77777777" w:rsidR="009D704A" w:rsidRDefault="009D7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085336"/>
    <w:multiLevelType w:val="hybridMultilevel"/>
    <w:tmpl w:val="DA7A2CD0"/>
    <w:lvl w:ilvl="0" w:tplc="167AA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A2B2A"/>
    <w:multiLevelType w:val="hybridMultilevel"/>
    <w:tmpl w:val="333E1E3C"/>
    <w:lvl w:ilvl="0" w:tplc="349A5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E1DBC"/>
    <w:multiLevelType w:val="hybridMultilevel"/>
    <w:tmpl w:val="1B3ADF12"/>
    <w:lvl w:ilvl="0" w:tplc="87FAFDD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807">
    <w:abstractNumId w:val="1"/>
  </w:num>
  <w:num w:numId="2" w16cid:durableId="1518881305">
    <w:abstractNumId w:val="3"/>
  </w:num>
  <w:num w:numId="3" w16cid:durableId="222182762">
    <w:abstractNumId w:val="2"/>
  </w:num>
  <w:num w:numId="4" w16cid:durableId="859394615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07"/>
    <w:rsid w:val="00011A42"/>
    <w:rsid w:val="000134E0"/>
    <w:rsid w:val="0002014B"/>
    <w:rsid w:val="00050DBE"/>
    <w:rsid w:val="000640DD"/>
    <w:rsid w:val="0006470D"/>
    <w:rsid w:val="00070346"/>
    <w:rsid w:val="00073415"/>
    <w:rsid w:val="000911D5"/>
    <w:rsid w:val="00094931"/>
    <w:rsid w:val="00096C8C"/>
    <w:rsid w:val="000A29F7"/>
    <w:rsid w:val="000A3212"/>
    <w:rsid w:val="000C0AEF"/>
    <w:rsid w:val="000C4DEC"/>
    <w:rsid w:val="000C5B80"/>
    <w:rsid w:val="000D717E"/>
    <w:rsid w:val="000D76BA"/>
    <w:rsid w:val="00122FF4"/>
    <w:rsid w:val="001237E7"/>
    <w:rsid w:val="00125A68"/>
    <w:rsid w:val="001302C8"/>
    <w:rsid w:val="001344F3"/>
    <w:rsid w:val="00141305"/>
    <w:rsid w:val="00146706"/>
    <w:rsid w:val="00147B47"/>
    <w:rsid w:val="0015070D"/>
    <w:rsid w:val="00162B77"/>
    <w:rsid w:val="00170760"/>
    <w:rsid w:val="00171CBE"/>
    <w:rsid w:val="001953EE"/>
    <w:rsid w:val="001A3FF9"/>
    <w:rsid w:val="001C322F"/>
    <w:rsid w:val="001F3792"/>
    <w:rsid w:val="001F6120"/>
    <w:rsid w:val="00202F5D"/>
    <w:rsid w:val="002237D5"/>
    <w:rsid w:val="00224824"/>
    <w:rsid w:val="0025432E"/>
    <w:rsid w:val="002753FA"/>
    <w:rsid w:val="002B36BE"/>
    <w:rsid w:val="002C1848"/>
    <w:rsid w:val="002C2C03"/>
    <w:rsid w:val="002C5A6D"/>
    <w:rsid w:val="002C5CB7"/>
    <w:rsid w:val="002F4CDF"/>
    <w:rsid w:val="00300318"/>
    <w:rsid w:val="00311428"/>
    <w:rsid w:val="00333366"/>
    <w:rsid w:val="00351911"/>
    <w:rsid w:val="00355211"/>
    <w:rsid w:val="003574FA"/>
    <w:rsid w:val="00361598"/>
    <w:rsid w:val="00365B8D"/>
    <w:rsid w:val="00374586"/>
    <w:rsid w:val="00383C66"/>
    <w:rsid w:val="003A2610"/>
    <w:rsid w:val="003E0071"/>
    <w:rsid w:val="003F497E"/>
    <w:rsid w:val="003F7E0C"/>
    <w:rsid w:val="00413519"/>
    <w:rsid w:val="0041583B"/>
    <w:rsid w:val="00426541"/>
    <w:rsid w:val="00427E77"/>
    <w:rsid w:val="00430C2E"/>
    <w:rsid w:val="00436A91"/>
    <w:rsid w:val="00441C66"/>
    <w:rsid w:val="004653A9"/>
    <w:rsid w:val="00466D3F"/>
    <w:rsid w:val="0047080C"/>
    <w:rsid w:val="00477839"/>
    <w:rsid w:val="00491EF2"/>
    <w:rsid w:val="0049330A"/>
    <w:rsid w:val="004C26D7"/>
    <w:rsid w:val="004C5988"/>
    <w:rsid w:val="004D5F19"/>
    <w:rsid w:val="004E44D7"/>
    <w:rsid w:val="004F1F2A"/>
    <w:rsid w:val="004F33C2"/>
    <w:rsid w:val="0050515E"/>
    <w:rsid w:val="00505258"/>
    <w:rsid w:val="00521BB6"/>
    <w:rsid w:val="00546481"/>
    <w:rsid w:val="0056253D"/>
    <w:rsid w:val="00564A30"/>
    <w:rsid w:val="00577B2C"/>
    <w:rsid w:val="0059485A"/>
    <w:rsid w:val="00597702"/>
    <w:rsid w:val="005A09D6"/>
    <w:rsid w:val="005B3939"/>
    <w:rsid w:val="005B7E3A"/>
    <w:rsid w:val="005D37F7"/>
    <w:rsid w:val="005E2179"/>
    <w:rsid w:val="005F6709"/>
    <w:rsid w:val="005F6A09"/>
    <w:rsid w:val="006013B8"/>
    <w:rsid w:val="00610606"/>
    <w:rsid w:val="0061318C"/>
    <w:rsid w:val="00631E76"/>
    <w:rsid w:val="00636AA2"/>
    <w:rsid w:val="00642C18"/>
    <w:rsid w:val="00650EEC"/>
    <w:rsid w:val="006616CC"/>
    <w:rsid w:val="00663C36"/>
    <w:rsid w:val="00674884"/>
    <w:rsid w:val="006932F7"/>
    <w:rsid w:val="00694CFD"/>
    <w:rsid w:val="006A0075"/>
    <w:rsid w:val="006A15EC"/>
    <w:rsid w:val="006A2642"/>
    <w:rsid w:val="006A3BD1"/>
    <w:rsid w:val="006A737C"/>
    <w:rsid w:val="006C7D05"/>
    <w:rsid w:val="006F03D0"/>
    <w:rsid w:val="006F1F40"/>
    <w:rsid w:val="006F6652"/>
    <w:rsid w:val="0071578E"/>
    <w:rsid w:val="00721F5E"/>
    <w:rsid w:val="00723A41"/>
    <w:rsid w:val="00723AD8"/>
    <w:rsid w:val="00725DB7"/>
    <w:rsid w:val="00726028"/>
    <w:rsid w:val="00741F96"/>
    <w:rsid w:val="00744479"/>
    <w:rsid w:val="00744AA9"/>
    <w:rsid w:val="0074544F"/>
    <w:rsid w:val="00752A4B"/>
    <w:rsid w:val="007543D1"/>
    <w:rsid w:val="00773574"/>
    <w:rsid w:val="00776431"/>
    <w:rsid w:val="00783C69"/>
    <w:rsid w:val="00786B8A"/>
    <w:rsid w:val="007902C9"/>
    <w:rsid w:val="00794376"/>
    <w:rsid w:val="007973B9"/>
    <w:rsid w:val="007A1654"/>
    <w:rsid w:val="007A64AE"/>
    <w:rsid w:val="007A7FA2"/>
    <w:rsid w:val="007B3A65"/>
    <w:rsid w:val="007B7CF9"/>
    <w:rsid w:val="007C200A"/>
    <w:rsid w:val="007E2DB7"/>
    <w:rsid w:val="0080043B"/>
    <w:rsid w:val="00801A09"/>
    <w:rsid w:val="008048EC"/>
    <w:rsid w:val="00805F69"/>
    <w:rsid w:val="00825E90"/>
    <w:rsid w:val="008274FD"/>
    <w:rsid w:val="00847331"/>
    <w:rsid w:val="00854648"/>
    <w:rsid w:val="00887393"/>
    <w:rsid w:val="008A3247"/>
    <w:rsid w:val="008B1892"/>
    <w:rsid w:val="008C2185"/>
    <w:rsid w:val="008C6583"/>
    <w:rsid w:val="008D1C93"/>
    <w:rsid w:val="008D556F"/>
    <w:rsid w:val="008E59C5"/>
    <w:rsid w:val="008F62AD"/>
    <w:rsid w:val="009075EB"/>
    <w:rsid w:val="0092312A"/>
    <w:rsid w:val="009373A9"/>
    <w:rsid w:val="009446C8"/>
    <w:rsid w:val="00951589"/>
    <w:rsid w:val="0095194D"/>
    <w:rsid w:val="0096686B"/>
    <w:rsid w:val="009954A5"/>
    <w:rsid w:val="009A1F55"/>
    <w:rsid w:val="009A22E7"/>
    <w:rsid w:val="009B0248"/>
    <w:rsid w:val="009B1A2B"/>
    <w:rsid w:val="009B4468"/>
    <w:rsid w:val="009B541C"/>
    <w:rsid w:val="009C6010"/>
    <w:rsid w:val="009D704A"/>
    <w:rsid w:val="009D777A"/>
    <w:rsid w:val="009E262A"/>
    <w:rsid w:val="009E3AD0"/>
    <w:rsid w:val="009E6825"/>
    <w:rsid w:val="00A05246"/>
    <w:rsid w:val="00A06430"/>
    <w:rsid w:val="00A06D18"/>
    <w:rsid w:val="00A14EDA"/>
    <w:rsid w:val="00A16BCB"/>
    <w:rsid w:val="00A20836"/>
    <w:rsid w:val="00A31BEB"/>
    <w:rsid w:val="00A37915"/>
    <w:rsid w:val="00A64DF0"/>
    <w:rsid w:val="00A72923"/>
    <w:rsid w:val="00A77B3D"/>
    <w:rsid w:val="00A86102"/>
    <w:rsid w:val="00A916BF"/>
    <w:rsid w:val="00AA19CC"/>
    <w:rsid w:val="00AC4251"/>
    <w:rsid w:val="00AD2A06"/>
    <w:rsid w:val="00AE64F6"/>
    <w:rsid w:val="00AF7DF0"/>
    <w:rsid w:val="00B016AF"/>
    <w:rsid w:val="00B05B9D"/>
    <w:rsid w:val="00B13539"/>
    <w:rsid w:val="00B339D0"/>
    <w:rsid w:val="00B33E6E"/>
    <w:rsid w:val="00B36FFF"/>
    <w:rsid w:val="00B400A1"/>
    <w:rsid w:val="00B44E01"/>
    <w:rsid w:val="00B469B7"/>
    <w:rsid w:val="00B47778"/>
    <w:rsid w:val="00B671EF"/>
    <w:rsid w:val="00B70E23"/>
    <w:rsid w:val="00B76E36"/>
    <w:rsid w:val="00B77FFD"/>
    <w:rsid w:val="00B814B9"/>
    <w:rsid w:val="00B920BB"/>
    <w:rsid w:val="00B92866"/>
    <w:rsid w:val="00BA4D44"/>
    <w:rsid w:val="00BB74CD"/>
    <w:rsid w:val="00BB74D9"/>
    <w:rsid w:val="00BC0AEC"/>
    <w:rsid w:val="00BC4FBB"/>
    <w:rsid w:val="00BC7092"/>
    <w:rsid w:val="00BD28E4"/>
    <w:rsid w:val="00BD72DB"/>
    <w:rsid w:val="00BE0B95"/>
    <w:rsid w:val="00BE3190"/>
    <w:rsid w:val="00BF122B"/>
    <w:rsid w:val="00C02F96"/>
    <w:rsid w:val="00C13415"/>
    <w:rsid w:val="00C154FB"/>
    <w:rsid w:val="00C22ABA"/>
    <w:rsid w:val="00C31457"/>
    <w:rsid w:val="00C368C3"/>
    <w:rsid w:val="00C447F1"/>
    <w:rsid w:val="00C51BFE"/>
    <w:rsid w:val="00C766F0"/>
    <w:rsid w:val="00C85755"/>
    <w:rsid w:val="00C95B27"/>
    <w:rsid w:val="00CA22E6"/>
    <w:rsid w:val="00CB5407"/>
    <w:rsid w:val="00CC0227"/>
    <w:rsid w:val="00CD2F03"/>
    <w:rsid w:val="00CE1FDD"/>
    <w:rsid w:val="00CE6C1E"/>
    <w:rsid w:val="00D22AF8"/>
    <w:rsid w:val="00D27DB1"/>
    <w:rsid w:val="00D32881"/>
    <w:rsid w:val="00D47ED3"/>
    <w:rsid w:val="00D553B8"/>
    <w:rsid w:val="00D555CC"/>
    <w:rsid w:val="00D56F2C"/>
    <w:rsid w:val="00D66918"/>
    <w:rsid w:val="00D74159"/>
    <w:rsid w:val="00D75C2D"/>
    <w:rsid w:val="00D77A69"/>
    <w:rsid w:val="00D80A77"/>
    <w:rsid w:val="00D93E50"/>
    <w:rsid w:val="00D9484E"/>
    <w:rsid w:val="00D95FBC"/>
    <w:rsid w:val="00DA2970"/>
    <w:rsid w:val="00DA4EE1"/>
    <w:rsid w:val="00DC184B"/>
    <w:rsid w:val="00DC424C"/>
    <w:rsid w:val="00DC77E2"/>
    <w:rsid w:val="00DD00BD"/>
    <w:rsid w:val="00DF393F"/>
    <w:rsid w:val="00DF5188"/>
    <w:rsid w:val="00E076D8"/>
    <w:rsid w:val="00E12993"/>
    <w:rsid w:val="00E23A2F"/>
    <w:rsid w:val="00E25AE1"/>
    <w:rsid w:val="00E2628A"/>
    <w:rsid w:val="00E340C1"/>
    <w:rsid w:val="00E42A92"/>
    <w:rsid w:val="00E52176"/>
    <w:rsid w:val="00E62179"/>
    <w:rsid w:val="00E65A16"/>
    <w:rsid w:val="00E77921"/>
    <w:rsid w:val="00E800F2"/>
    <w:rsid w:val="00E91B09"/>
    <w:rsid w:val="00E92CA5"/>
    <w:rsid w:val="00E95B43"/>
    <w:rsid w:val="00E97B72"/>
    <w:rsid w:val="00EA072B"/>
    <w:rsid w:val="00ED5CDC"/>
    <w:rsid w:val="00EE6F8B"/>
    <w:rsid w:val="00EF546F"/>
    <w:rsid w:val="00EF6EA6"/>
    <w:rsid w:val="00F01078"/>
    <w:rsid w:val="00F02498"/>
    <w:rsid w:val="00F069C2"/>
    <w:rsid w:val="00F21A5F"/>
    <w:rsid w:val="00F61792"/>
    <w:rsid w:val="00F63FF0"/>
    <w:rsid w:val="00F76C6B"/>
    <w:rsid w:val="00F823EF"/>
    <w:rsid w:val="00F8367B"/>
    <w:rsid w:val="00F83E92"/>
    <w:rsid w:val="00F9149A"/>
    <w:rsid w:val="00F92B5F"/>
    <w:rsid w:val="00FA0DF9"/>
    <w:rsid w:val="00FA1BD1"/>
    <w:rsid w:val="00FB1C5F"/>
    <w:rsid w:val="00FB2AC1"/>
    <w:rsid w:val="00FB5CD0"/>
    <w:rsid w:val="00FC1F60"/>
    <w:rsid w:val="00FC3E3E"/>
    <w:rsid w:val="00FD0F42"/>
    <w:rsid w:val="00FD3BE6"/>
    <w:rsid w:val="00FD41C9"/>
    <w:rsid w:val="00FE0000"/>
    <w:rsid w:val="00FE4E5A"/>
    <w:rsid w:val="00FF1447"/>
    <w:rsid w:val="00FF615D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46E5"/>
  <w15:chartTrackingRefBased/>
  <w15:docId w15:val="{D30381ED-594E-4B8B-BCD6-C6B881C5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07"/>
    <w:rPr>
      <w:rFonts w:ascii="Times New Roman" w:eastAsia="Times New Roman" w:hAnsi="Times New Roman"/>
      <w:bCs/>
      <w:color w:val="FF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4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6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66F0"/>
    <w:rPr>
      <w:rFonts w:ascii="Tahoma" w:eastAsia="Times New Roman" w:hAnsi="Tahoma" w:cs="Tahoma"/>
      <w:bCs/>
      <w:color w:val="FF0000"/>
      <w:sz w:val="16"/>
      <w:szCs w:val="16"/>
    </w:rPr>
  </w:style>
  <w:style w:type="paragraph" w:customStyle="1" w:styleId="Level2">
    <w:name w:val="Level 2"/>
    <w:basedOn w:val="Normal"/>
    <w:rsid w:val="0002014B"/>
    <w:pPr>
      <w:widowControl w:val="0"/>
      <w:numPr>
        <w:ilvl w:val="1"/>
        <w:numId w:val="4"/>
      </w:numPr>
      <w:ind w:left="720" w:hanging="360"/>
      <w:outlineLvl w:val="1"/>
    </w:pPr>
    <w:rPr>
      <w:bCs w:val="0"/>
      <w:snapToGrid w:val="0"/>
      <w:color w:val="auto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4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4F3"/>
    <w:rPr>
      <w:rFonts w:ascii="Times New Roman" w:eastAsia="Times New Roman" w:hAnsi="Times New Roman"/>
      <w:bCs/>
      <w:color w:val="FF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34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4F3"/>
    <w:rPr>
      <w:rFonts w:ascii="Times New Roman" w:eastAsia="Times New Roman" w:hAnsi="Times New Roman"/>
      <w:bCs/>
      <w:color w:val="FF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31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14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1457"/>
    <w:rPr>
      <w:rFonts w:ascii="Times New Roman" w:eastAsia="Times New Roman" w:hAnsi="Times New Roman"/>
      <w:bCs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45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457"/>
    <w:rPr>
      <w:rFonts w:ascii="Times New Roman" w:eastAsia="Times New Roman" w:hAnsi="Times New Roman"/>
      <w:b/>
      <w:bCs/>
      <w:color w:val="FF0000"/>
    </w:rPr>
  </w:style>
  <w:style w:type="character" w:styleId="Strong">
    <w:name w:val="Strong"/>
    <w:uiPriority w:val="22"/>
    <w:qFormat/>
    <w:rsid w:val="00773574"/>
    <w:rPr>
      <w:b/>
      <w:bCs/>
    </w:rPr>
  </w:style>
  <w:style w:type="character" w:styleId="Emphasis">
    <w:name w:val="Emphasis"/>
    <w:uiPriority w:val="20"/>
    <w:qFormat/>
    <w:rsid w:val="00773574"/>
    <w:rPr>
      <w:i/>
      <w:iCs/>
    </w:rPr>
  </w:style>
  <w:style w:type="paragraph" w:styleId="Revision">
    <w:name w:val="Revision"/>
    <w:hidden/>
    <w:uiPriority w:val="99"/>
    <w:semiHidden/>
    <w:rsid w:val="0006470D"/>
    <w:rPr>
      <w:rFonts w:ascii="Times New Roman" w:eastAsia="Times New Roman" w:hAnsi="Times New Roman"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4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873C3F9CA5048B900D8D128759724" ma:contentTypeVersion="11" ma:contentTypeDescription="Create a new document." ma:contentTypeScope="" ma:versionID="8859ce76e53c2be9fa2368aee5d19a1e">
  <xsd:schema xmlns:xsd="http://www.w3.org/2001/XMLSchema" xmlns:xs="http://www.w3.org/2001/XMLSchema" xmlns:p="http://schemas.microsoft.com/office/2006/metadata/properties" xmlns:ns3="0ffb37f9-1bcf-4e3e-b04f-292b64b553dd" xmlns:ns4="fba56bae-1289-4829-be78-d0385421a9a9" targetNamespace="http://schemas.microsoft.com/office/2006/metadata/properties" ma:root="true" ma:fieldsID="9bc2d95fde3c0abfabf2e28d581e4f25" ns3:_="" ns4:_="">
    <xsd:import namespace="0ffb37f9-1bcf-4e3e-b04f-292b64b553dd"/>
    <xsd:import namespace="fba56bae-1289-4829-be78-d0385421a9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b37f9-1bcf-4e3e-b04f-292b64b553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56bae-1289-4829-be78-d0385421a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6F71D-FCB6-4AC1-9541-D72BA0E4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b37f9-1bcf-4e3e-b04f-292b64b553dd"/>
    <ds:schemaRef ds:uri="fba56bae-1289-4829-be78-d0385421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A23920-907E-4FD7-946B-2480A21B0F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7F21B8-8A08-4EE1-8519-36E924036E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66EBF2-5906-4CC4-8154-6C2567E85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Supreme Court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Arizona Supreme Court</dc:creator>
  <cp:keywords/>
  <cp:lastModifiedBy>McQueen, Amanda</cp:lastModifiedBy>
  <cp:revision>2</cp:revision>
  <cp:lastPrinted>2021-06-02T21:07:00Z</cp:lastPrinted>
  <dcterms:created xsi:type="dcterms:W3CDTF">2024-11-22T23:20:00Z</dcterms:created>
  <dcterms:modified xsi:type="dcterms:W3CDTF">2024-11-22T23:20:00Z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0x0101007A7873C3F9CA5048B900D8D128759724</vt:lpwstr>
  </property>
</Properties>
</file>