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92B1" w14:textId="77777777" w:rsidR="00D775C1" w:rsidRPr="00D775C1" w:rsidRDefault="00D775C1" w:rsidP="00D775C1">
      <w:r w:rsidRPr="00D775C1">
        <w:rPr>
          <w:b/>
          <w:bCs/>
        </w:rPr>
        <w:t>To Whom It May Concern,</w:t>
      </w:r>
    </w:p>
    <w:p w14:paraId="27D06CFD" w14:textId="77777777" w:rsidR="00D775C1" w:rsidRPr="00D775C1" w:rsidRDefault="00D775C1" w:rsidP="00D775C1">
      <w:r w:rsidRPr="00D775C1">
        <w:t xml:space="preserve">I am writing to respectfully express my </w:t>
      </w:r>
      <w:r w:rsidRPr="00D775C1">
        <w:rPr>
          <w:b/>
          <w:bCs/>
        </w:rPr>
        <w:t>strong opposition</w:t>
      </w:r>
      <w:r w:rsidRPr="00D775C1">
        <w:t xml:space="preserve"> to the proposed increase in certification fees for Certified Court Reporters in Arizona.</w:t>
      </w:r>
    </w:p>
    <w:p w14:paraId="01F1F3D7" w14:textId="69D4735D" w:rsidR="00D775C1" w:rsidRPr="00D775C1" w:rsidRDefault="00D775C1" w:rsidP="00D775C1">
      <w:r w:rsidRPr="00D775C1">
        <w:t>As a working reporter in this state</w:t>
      </w:r>
      <w:r w:rsidR="009C1915">
        <w:t xml:space="preserve"> for 25 years</w:t>
      </w:r>
      <w:r w:rsidRPr="00D775C1">
        <w:t xml:space="preserve">, I already shoulder the cost of continuing education, professional-grade equipment, software, and national certification requirements. Arizona’s certification fees are </w:t>
      </w:r>
      <w:r w:rsidRPr="00D775C1">
        <w:rPr>
          <w:b/>
          <w:bCs/>
        </w:rPr>
        <w:t>already among the highest in the country</w:t>
      </w:r>
      <w:r w:rsidRPr="00D775C1">
        <w:t xml:space="preserve"> for self-funded states. Increasing them further would create an unsustainable environment for </w:t>
      </w:r>
      <w:proofErr w:type="gramStart"/>
      <w:r w:rsidRPr="00D775C1">
        <w:t>many</w:t>
      </w:r>
      <w:proofErr w:type="gramEnd"/>
      <w:r w:rsidRPr="00D775C1">
        <w:t xml:space="preserve"> of us and actively discourage others from pursuing or maintaining certification in Arizona.</w:t>
      </w:r>
    </w:p>
    <w:p w14:paraId="3A242EFC" w14:textId="77777777" w:rsidR="00D775C1" w:rsidRPr="00D775C1" w:rsidRDefault="00D775C1" w:rsidP="00D775C1">
      <w:r w:rsidRPr="00D775C1">
        <w:t xml:space="preserve">Arizona is currently experiencing a </w:t>
      </w:r>
      <w:r w:rsidRPr="00D775C1">
        <w:rPr>
          <w:b/>
          <w:bCs/>
        </w:rPr>
        <w:t>shortage of certified court reporters</w:t>
      </w:r>
      <w:r w:rsidRPr="00D775C1">
        <w:t>, and this proposal will only deepen that crisis. I know of colleagues who have already decided not to renew their certifications after this year due to financial strain. Others—despite being certified in other states—</w:t>
      </w:r>
      <w:r w:rsidRPr="00D775C1">
        <w:rPr>
          <w:b/>
          <w:bCs/>
        </w:rPr>
        <w:t>are opting not to pursue Arizona licensure because of the excessive costs.</w:t>
      </w:r>
    </w:p>
    <w:p w14:paraId="192B5603" w14:textId="77777777" w:rsidR="00D775C1" w:rsidRPr="00D775C1" w:rsidRDefault="00D775C1" w:rsidP="00D775C1">
      <w:r w:rsidRPr="00D775C1">
        <w:t xml:space="preserve">This issue affects more than just the professionals in our field—it threatens the </w:t>
      </w:r>
      <w:r w:rsidRPr="00D775C1">
        <w:rPr>
          <w:b/>
          <w:bCs/>
        </w:rPr>
        <w:t>public's access to justice</w:t>
      </w:r>
      <w:r w:rsidRPr="00D775C1">
        <w:t>. Certified court reporters are essential to ensuring an accurate, impartial, and protected record of legal proceedings. Weakening our numbers and deterring new professionals will have long-term consequences for the courts and the communities they serve.</w:t>
      </w:r>
    </w:p>
    <w:p w14:paraId="2E8F811D" w14:textId="77777777" w:rsidR="00D775C1" w:rsidRPr="00D775C1" w:rsidRDefault="00D775C1" w:rsidP="00D775C1">
      <w:r w:rsidRPr="00D775C1">
        <w:t>For context, here’s a comparison of annual certification fees in other self-funded states: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0"/>
        <w:gridCol w:w="1440"/>
        <w:gridCol w:w="1980"/>
      </w:tblGrid>
      <w:tr w:rsidR="00D775C1" w:rsidRPr="00D775C1" w14:paraId="24DC47AB" w14:textId="77777777" w:rsidTr="00853063">
        <w:trPr>
          <w:tblHeader/>
          <w:tblCellSpacing w:w="15" w:type="dxa"/>
        </w:trPr>
        <w:tc>
          <w:tcPr>
            <w:tcW w:w="1665" w:type="dxa"/>
            <w:vAlign w:val="center"/>
            <w:hideMark/>
          </w:tcPr>
          <w:p w14:paraId="52590F13" w14:textId="77777777" w:rsidR="00D775C1" w:rsidRPr="00D775C1" w:rsidRDefault="00D775C1" w:rsidP="00D775C1">
            <w:pPr>
              <w:rPr>
                <w:b/>
                <w:bCs/>
              </w:rPr>
            </w:pPr>
            <w:r w:rsidRPr="00D775C1">
              <w:rPr>
                <w:b/>
                <w:bCs/>
              </w:rPr>
              <w:t>State</w:t>
            </w:r>
          </w:p>
        </w:tc>
        <w:tc>
          <w:tcPr>
            <w:tcW w:w="1410" w:type="dxa"/>
            <w:vAlign w:val="center"/>
            <w:hideMark/>
          </w:tcPr>
          <w:p w14:paraId="3DA42811" w14:textId="77777777" w:rsidR="00D775C1" w:rsidRPr="00D775C1" w:rsidRDefault="00D775C1" w:rsidP="00D775C1">
            <w:pPr>
              <w:rPr>
                <w:b/>
                <w:bCs/>
              </w:rPr>
            </w:pPr>
            <w:r w:rsidRPr="00D775C1">
              <w:rPr>
                <w:b/>
                <w:bCs/>
              </w:rPr>
              <w:t>Annual Fees</w:t>
            </w:r>
          </w:p>
        </w:tc>
        <w:tc>
          <w:tcPr>
            <w:tcW w:w="1935" w:type="dxa"/>
            <w:vAlign w:val="center"/>
            <w:hideMark/>
          </w:tcPr>
          <w:p w14:paraId="5DA1D7AF" w14:textId="77777777" w:rsidR="00D775C1" w:rsidRPr="00D775C1" w:rsidRDefault="00D775C1" w:rsidP="00D775C1">
            <w:pPr>
              <w:rPr>
                <w:b/>
                <w:bCs/>
              </w:rPr>
            </w:pPr>
            <w:r w:rsidRPr="00D775C1">
              <w:rPr>
                <w:b/>
                <w:bCs/>
              </w:rPr>
              <w:t>Self-Funded</w:t>
            </w:r>
          </w:p>
        </w:tc>
      </w:tr>
      <w:tr w:rsidR="00D775C1" w:rsidRPr="00D775C1" w14:paraId="7ABE5C96" w14:textId="77777777" w:rsidTr="00853063">
        <w:trPr>
          <w:tblCellSpacing w:w="15" w:type="dxa"/>
        </w:trPr>
        <w:tc>
          <w:tcPr>
            <w:tcW w:w="1665" w:type="dxa"/>
            <w:vAlign w:val="center"/>
            <w:hideMark/>
          </w:tcPr>
          <w:p w14:paraId="31B61E99" w14:textId="77777777" w:rsidR="00D775C1" w:rsidRPr="00D775C1" w:rsidRDefault="00D775C1" w:rsidP="00853063">
            <w:pPr>
              <w:spacing w:after="0"/>
            </w:pPr>
            <w:r w:rsidRPr="00D775C1">
              <w:t>California</w:t>
            </w:r>
          </w:p>
        </w:tc>
        <w:tc>
          <w:tcPr>
            <w:tcW w:w="1410" w:type="dxa"/>
            <w:vAlign w:val="center"/>
            <w:hideMark/>
          </w:tcPr>
          <w:p w14:paraId="32C0A541" w14:textId="77777777" w:rsidR="00D775C1" w:rsidRPr="00D775C1" w:rsidRDefault="00D775C1" w:rsidP="00853063">
            <w:pPr>
              <w:spacing w:after="0"/>
            </w:pPr>
            <w:r w:rsidRPr="00D775C1">
              <w:t>$225</w:t>
            </w:r>
          </w:p>
        </w:tc>
        <w:tc>
          <w:tcPr>
            <w:tcW w:w="1935" w:type="dxa"/>
            <w:vAlign w:val="center"/>
            <w:hideMark/>
          </w:tcPr>
          <w:p w14:paraId="23908801" w14:textId="77777777" w:rsidR="00D775C1" w:rsidRPr="00D775C1" w:rsidRDefault="00D775C1" w:rsidP="00853063">
            <w:pPr>
              <w:spacing w:after="0"/>
            </w:pPr>
            <w:r w:rsidRPr="00D775C1">
              <w:t>Yes</w:t>
            </w:r>
          </w:p>
        </w:tc>
      </w:tr>
      <w:tr w:rsidR="00D775C1" w:rsidRPr="00D775C1" w14:paraId="5D1B30B7" w14:textId="77777777" w:rsidTr="00853063">
        <w:trPr>
          <w:tblCellSpacing w:w="15" w:type="dxa"/>
        </w:trPr>
        <w:tc>
          <w:tcPr>
            <w:tcW w:w="1665" w:type="dxa"/>
            <w:vAlign w:val="center"/>
            <w:hideMark/>
          </w:tcPr>
          <w:p w14:paraId="73F2D89B" w14:textId="77777777" w:rsidR="00D775C1" w:rsidRPr="00D775C1" w:rsidRDefault="00D775C1" w:rsidP="00853063">
            <w:pPr>
              <w:spacing w:after="0"/>
            </w:pPr>
            <w:r w:rsidRPr="00D775C1">
              <w:t>Nevada</w:t>
            </w:r>
          </w:p>
        </w:tc>
        <w:tc>
          <w:tcPr>
            <w:tcW w:w="1410" w:type="dxa"/>
            <w:vAlign w:val="center"/>
            <w:hideMark/>
          </w:tcPr>
          <w:p w14:paraId="466CA4B9" w14:textId="77777777" w:rsidR="00D775C1" w:rsidRPr="00D775C1" w:rsidRDefault="00D775C1" w:rsidP="00853063">
            <w:pPr>
              <w:spacing w:after="0"/>
            </w:pPr>
            <w:r w:rsidRPr="00D775C1">
              <w:t>$200</w:t>
            </w:r>
          </w:p>
        </w:tc>
        <w:tc>
          <w:tcPr>
            <w:tcW w:w="1935" w:type="dxa"/>
            <w:vAlign w:val="center"/>
            <w:hideMark/>
          </w:tcPr>
          <w:p w14:paraId="50F83522" w14:textId="77777777" w:rsidR="00D775C1" w:rsidRPr="00D775C1" w:rsidRDefault="00D775C1" w:rsidP="00853063">
            <w:pPr>
              <w:spacing w:after="0"/>
            </w:pPr>
            <w:r w:rsidRPr="00D775C1">
              <w:t>Yes</w:t>
            </w:r>
          </w:p>
        </w:tc>
      </w:tr>
      <w:tr w:rsidR="00D775C1" w:rsidRPr="00D775C1" w14:paraId="51060D99" w14:textId="77777777" w:rsidTr="00853063">
        <w:trPr>
          <w:tblCellSpacing w:w="15" w:type="dxa"/>
        </w:trPr>
        <w:tc>
          <w:tcPr>
            <w:tcW w:w="1665" w:type="dxa"/>
            <w:vAlign w:val="center"/>
            <w:hideMark/>
          </w:tcPr>
          <w:p w14:paraId="7728D4BD" w14:textId="77777777" w:rsidR="00D775C1" w:rsidRPr="00D775C1" w:rsidRDefault="00D775C1" w:rsidP="00853063">
            <w:pPr>
              <w:spacing w:after="0"/>
            </w:pPr>
            <w:r w:rsidRPr="00D775C1">
              <w:t>Georgia</w:t>
            </w:r>
          </w:p>
        </w:tc>
        <w:tc>
          <w:tcPr>
            <w:tcW w:w="1410" w:type="dxa"/>
            <w:vAlign w:val="center"/>
            <w:hideMark/>
          </w:tcPr>
          <w:p w14:paraId="747644F4" w14:textId="77777777" w:rsidR="00D775C1" w:rsidRPr="00D775C1" w:rsidRDefault="00D775C1" w:rsidP="00853063">
            <w:pPr>
              <w:spacing w:after="0"/>
            </w:pPr>
            <w:r w:rsidRPr="00D775C1">
              <w:t>$125</w:t>
            </w:r>
          </w:p>
        </w:tc>
        <w:tc>
          <w:tcPr>
            <w:tcW w:w="1935" w:type="dxa"/>
            <w:vAlign w:val="center"/>
            <w:hideMark/>
          </w:tcPr>
          <w:p w14:paraId="78402CDD" w14:textId="77777777" w:rsidR="00D775C1" w:rsidRPr="00D775C1" w:rsidRDefault="00D775C1" w:rsidP="00853063">
            <w:pPr>
              <w:spacing w:after="0"/>
            </w:pPr>
            <w:r w:rsidRPr="00D775C1">
              <w:t>Yes</w:t>
            </w:r>
          </w:p>
        </w:tc>
      </w:tr>
      <w:tr w:rsidR="00D775C1" w:rsidRPr="00D775C1" w14:paraId="1059963B" w14:textId="77777777" w:rsidTr="00853063">
        <w:trPr>
          <w:tblCellSpacing w:w="15" w:type="dxa"/>
        </w:trPr>
        <w:tc>
          <w:tcPr>
            <w:tcW w:w="1665" w:type="dxa"/>
            <w:vAlign w:val="center"/>
            <w:hideMark/>
          </w:tcPr>
          <w:p w14:paraId="70449566" w14:textId="77777777" w:rsidR="00D775C1" w:rsidRPr="00D775C1" w:rsidRDefault="00D775C1" w:rsidP="00853063">
            <w:pPr>
              <w:spacing w:after="0"/>
            </w:pPr>
            <w:r w:rsidRPr="00D775C1">
              <w:t>Tennessee</w:t>
            </w:r>
          </w:p>
        </w:tc>
        <w:tc>
          <w:tcPr>
            <w:tcW w:w="1410" w:type="dxa"/>
            <w:vAlign w:val="center"/>
            <w:hideMark/>
          </w:tcPr>
          <w:p w14:paraId="12245CB3" w14:textId="77777777" w:rsidR="00D775C1" w:rsidRPr="00D775C1" w:rsidRDefault="00D775C1" w:rsidP="00853063">
            <w:pPr>
              <w:spacing w:after="0"/>
            </w:pPr>
            <w:r w:rsidRPr="00D775C1">
              <w:t>$100</w:t>
            </w:r>
          </w:p>
        </w:tc>
        <w:tc>
          <w:tcPr>
            <w:tcW w:w="1935" w:type="dxa"/>
            <w:vAlign w:val="center"/>
            <w:hideMark/>
          </w:tcPr>
          <w:p w14:paraId="1804EF36" w14:textId="77777777" w:rsidR="00D775C1" w:rsidRPr="00D775C1" w:rsidRDefault="00D775C1" w:rsidP="00853063">
            <w:pPr>
              <w:spacing w:after="0"/>
            </w:pPr>
            <w:r w:rsidRPr="00D775C1">
              <w:t>Yes</w:t>
            </w:r>
          </w:p>
        </w:tc>
      </w:tr>
      <w:tr w:rsidR="00D775C1" w:rsidRPr="00D775C1" w14:paraId="5F21B28C" w14:textId="77777777" w:rsidTr="00853063">
        <w:trPr>
          <w:tblCellSpacing w:w="15" w:type="dxa"/>
        </w:trPr>
        <w:tc>
          <w:tcPr>
            <w:tcW w:w="1665" w:type="dxa"/>
            <w:vAlign w:val="center"/>
            <w:hideMark/>
          </w:tcPr>
          <w:p w14:paraId="57E4FDF8" w14:textId="77777777" w:rsidR="00D775C1" w:rsidRPr="00D775C1" w:rsidRDefault="00D775C1" w:rsidP="00853063">
            <w:pPr>
              <w:spacing w:after="0"/>
            </w:pPr>
            <w:r w:rsidRPr="00D775C1">
              <w:t>Texas</w:t>
            </w:r>
          </w:p>
        </w:tc>
        <w:tc>
          <w:tcPr>
            <w:tcW w:w="1410" w:type="dxa"/>
            <w:vAlign w:val="center"/>
            <w:hideMark/>
          </w:tcPr>
          <w:p w14:paraId="06EFF734" w14:textId="77777777" w:rsidR="00D775C1" w:rsidRPr="00D775C1" w:rsidRDefault="00D775C1" w:rsidP="00853063">
            <w:pPr>
              <w:spacing w:after="0"/>
            </w:pPr>
            <w:r w:rsidRPr="00D775C1">
              <w:t>$200</w:t>
            </w:r>
          </w:p>
        </w:tc>
        <w:tc>
          <w:tcPr>
            <w:tcW w:w="1935" w:type="dxa"/>
            <w:vAlign w:val="center"/>
            <w:hideMark/>
          </w:tcPr>
          <w:p w14:paraId="3EEB2CC7" w14:textId="77777777" w:rsidR="00D775C1" w:rsidRPr="00D775C1" w:rsidRDefault="00D775C1" w:rsidP="00853063">
            <w:pPr>
              <w:spacing w:after="0"/>
            </w:pPr>
            <w:r w:rsidRPr="00D775C1">
              <w:t>Yes</w:t>
            </w:r>
          </w:p>
        </w:tc>
      </w:tr>
      <w:tr w:rsidR="00D775C1" w:rsidRPr="00D775C1" w14:paraId="340930BF" w14:textId="77777777" w:rsidTr="00853063">
        <w:trPr>
          <w:tblCellSpacing w:w="15" w:type="dxa"/>
        </w:trPr>
        <w:tc>
          <w:tcPr>
            <w:tcW w:w="1665" w:type="dxa"/>
            <w:vAlign w:val="center"/>
            <w:hideMark/>
          </w:tcPr>
          <w:p w14:paraId="2ACB800C" w14:textId="77777777" w:rsidR="00D775C1" w:rsidRPr="00D775C1" w:rsidRDefault="00D775C1" w:rsidP="00853063">
            <w:pPr>
              <w:spacing w:after="0"/>
            </w:pPr>
            <w:r w:rsidRPr="00D775C1">
              <w:t>New Mexico</w:t>
            </w:r>
          </w:p>
        </w:tc>
        <w:tc>
          <w:tcPr>
            <w:tcW w:w="1410" w:type="dxa"/>
            <w:vAlign w:val="center"/>
            <w:hideMark/>
          </w:tcPr>
          <w:p w14:paraId="5BFC285F" w14:textId="77777777" w:rsidR="00D775C1" w:rsidRPr="00D775C1" w:rsidRDefault="00D775C1" w:rsidP="00853063">
            <w:pPr>
              <w:spacing w:after="0"/>
            </w:pPr>
            <w:r w:rsidRPr="00D775C1">
              <w:t>$130</w:t>
            </w:r>
          </w:p>
        </w:tc>
        <w:tc>
          <w:tcPr>
            <w:tcW w:w="1935" w:type="dxa"/>
            <w:vAlign w:val="center"/>
            <w:hideMark/>
          </w:tcPr>
          <w:p w14:paraId="73A5A072" w14:textId="77777777" w:rsidR="00D775C1" w:rsidRPr="00D775C1" w:rsidRDefault="00D775C1" w:rsidP="00853063">
            <w:pPr>
              <w:spacing w:after="0"/>
            </w:pPr>
            <w:r w:rsidRPr="00D775C1">
              <w:t>Yes</w:t>
            </w:r>
          </w:p>
        </w:tc>
      </w:tr>
      <w:tr w:rsidR="00D775C1" w:rsidRPr="00D775C1" w14:paraId="7AED981C" w14:textId="77777777" w:rsidTr="00853063">
        <w:trPr>
          <w:tblCellSpacing w:w="15" w:type="dxa"/>
        </w:trPr>
        <w:tc>
          <w:tcPr>
            <w:tcW w:w="1665" w:type="dxa"/>
            <w:vAlign w:val="center"/>
          </w:tcPr>
          <w:p w14:paraId="5F9FE8A0" w14:textId="5F31F567" w:rsidR="00D775C1" w:rsidRPr="00D775C1" w:rsidRDefault="00D775C1" w:rsidP="00D775C1"/>
        </w:tc>
        <w:tc>
          <w:tcPr>
            <w:tcW w:w="1410" w:type="dxa"/>
            <w:vAlign w:val="center"/>
          </w:tcPr>
          <w:p w14:paraId="14AC28C8" w14:textId="1077CE4C" w:rsidR="00D775C1" w:rsidRPr="00D775C1" w:rsidRDefault="00D775C1" w:rsidP="00D775C1"/>
        </w:tc>
        <w:tc>
          <w:tcPr>
            <w:tcW w:w="1935" w:type="dxa"/>
            <w:vAlign w:val="center"/>
          </w:tcPr>
          <w:p w14:paraId="2BA52E4A" w14:textId="62632463" w:rsidR="00D775C1" w:rsidRPr="00D775C1" w:rsidRDefault="00D775C1" w:rsidP="00D775C1"/>
        </w:tc>
      </w:tr>
    </w:tbl>
    <w:p w14:paraId="07F1521A" w14:textId="266385A8" w:rsidR="00D775C1" w:rsidRPr="00D775C1" w:rsidRDefault="00D775C1" w:rsidP="00D775C1">
      <w:r w:rsidRPr="00D775C1">
        <w:t xml:space="preserve">In addition, the </w:t>
      </w:r>
      <w:r w:rsidRPr="00D775C1">
        <w:rPr>
          <w:b/>
          <w:bCs/>
        </w:rPr>
        <w:t>cost to even begin a career</w:t>
      </w:r>
      <w:r w:rsidRPr="00D775C1">
        <w:t xml:space="preserve"> as a court reporter</w:t>
      </w:r>
      <w:r w:rsidR="00C42613">
        <w:t xml:space="preserve"> after you have obtained a degree/certification </w:t>
      </w:r>
      <w:r w:rsidRPr="00D775C1">
        <w:t>is substantial</w:t>
      </w:r>
      <w:r>
        <w:t xml:space="preserve"> </w:t>
      </w:r>
      <w:r w:rsidRPr="00D775C1">
        <w:t>:</w:t>
      </w:r>
    </w:p>
    <w:p w14:paraId="4FE76086" w14:textId="05281156" w:rsidR="00D775C1" w:rsidRPr="00D775C1" w:rsidRDefault="00D775C1" w:rsidP="00853063">
      <w:pPr>
        <w:numPr>
          <w:ilvl w:val="0"/>
          <w:numId w:val="1"/>
        </w:numPr>
        <w:spacing w:after="0"/>
      </w:pPr>
      <w:r w:rsidRPr="00D775C1">
        <w:t>$6,299 – Steno writer</w:t>
      </w:r>
      <w:r w:rsidR="00853063">
        <w:rPr>
          <w:rStyle w:val="FootnoteReference"/>
        </w:rPr>
        <w:footnoteReference w:id="1"/>
      </w:r>
    </w:p>
    <w:p w14:paraId="7A6ECD8B" w14:textId="25F4C697" w:rsidR="00D775C1" w:rsidRPr="00D775C1" w:rsidRDefault="00D775C1" w:rsidP="00853063">
      <w:pPr>
        <w:numPr>
          <w:ilvl w:val="0"/>
          <w:numId w:val="1"/>
        </w:numPr>
        <w:spacing w:after="0"/>
      </w:pPr>
      <w:r w:rsidRPr="00D775C1">
        <w:t>$4,299 – CAT software</w:t>
      </w:r>
      <w:r w:rsidR="00853063">
        <w:rPr>
          <w:rStyle w:val="FootnoteReference"/>
        </w:rPr>
        <w:footnoteReference w:id="2"/>
      </w:r>
    </w:p>
    <w:p w14:paraId="07D037AC" w14:textId="77777777" w:rsidR="00D775C1" w:rsidRPr="00D775C1" w:rsidRDefault="00D775C1" w:rsidP="00853063">
      <w:pPr>
        <w:numPr>
          <w:ilvl w:val="0"/>
          <w:numId w:val="1"/>
        </w:numPr>
        <w:spacing w:after="0"/>
      </w:pPr>
      <w:r w:rsidRPr="00D775C1">
        <w:t>$2,000 – Laptop</w:t>
      </w:r>
    </w:p>
    <w:p w14:paraId="59F483CB" w14:textId="14360739" w:rsidR="00D775C1" w:rsidRPr="00D775C1" w:rsidRDefault="00D775C1" w:rsidP="00853063">
      <w:pPr>
        <w:numPr>
          <w:ilvl w:val="0"/>
          <w:numId w:val="1"/>
        </w:numPr>
        <w:spacing w:after="0"/>
      </w:pPr>
      <w:r w:rsidRPr="00D775C1">
        <w:lastRenderedPageBreak/>
        <w:t xml:space="preserve">$300 – </w:t>
      </w:r>
      <w:r>
        <w:t xml:space="preserve">National Court Reporters Association </w:t>
      </w:r>
      <w:r w:rsidRPr="00D775C1">
        <w:t>NCRA membership</w:t>
      </w:r>
    </w:p>
    <w:p w14:paraId="1470F96F" w14:textId="4B2292C2" w:rsidR="00D775C1" w:rsidRPr="00D775C1" w:rsidRDefault="00D775C1" w:rsidP="00853063">
      <w:pPr>
        <w:numPr>
          <w:ilvl w:val="0"/>
          <w:numId w:val="1"/>
        </w:numPr>
        <w:spacing w:after="0"/>
      </w:pPr>
      <w:r w:rsidRPr="00D775C1">
        <w:t xml:space="preserve">$110 – </w:t>
      </w:r>
      <w:r>
        <w:t xml:space="preserve">NCRA </w:t>
      </w:r>
      <w:r w:rsidRPr="00D775C1">
        <w:t>Each skills test (3 required</w:t>
      </w:r>
      <w:r>
        <w:t xml:space="preserve"> to become certified</w:t>
      </w:r>
      <w:r w:rsidRPr="00D775C1">
        <w:t>)</w:t>
      </w:r>
      <w:r>
        <w:rPr>
          <w:rStyle w:val="FootnoteReference"/>
        </w:rPr>
        <w:footnoteReference w:id="3"/>
      </w:r>
    </w:p>
    <w:p w14:paraId="4D1DE660" w14:textId="51EDC38E" w:rsidR="00D775C1" w:rsidRPr="00D775C1" w:rsidRDefault="00D775C1" w:rsidP="00853063">
      <w:pPr>
        <w:numPr>
          <w:ilvl w:val="0"/>
          <w:numId w:val="1"/>
        </w:numPr>
        <w:spacing w:after="0"/>
      </w:pPr>
      <w:r w:rsidRPr="00D775C1">
        <w:t xml:space="preserve">$220 – </w:t>
      </w:r>
      <w:r>
        <w:t xml:space="preserve">NCRA </w:t>
      </w:r>
      <w:r w:rsidRPr="00D775C1">
        <w:t>Written knowledge test</w:t>
      </w:r>
      <w:r>
        <w:t xml:space="preserve"> (required to become certified)</w:t>
      </w:r>
      <w:r w:rsidR="00E61456">
        <w:rPr>
          <w:rStyle w:val="FootnoteReference"/>
        </w:rPr>
        <w:t>3</w:t>
      </w:r>
    </w:p>
    <w:p w14:paraId="0F1BBC8E" w14:textId="61C3571F" w:rsidR="00D775C1" w:rsidRPr="00D775C1" w:rsidRDefault="00D775C1" w:rsidP="00853063">
      <w:pPr>
        <w:numPr>
          <w:ilvl w:val="0"/>
          <w:numId w:val="1"/>
        </w:numPr>
        <w:spacing w:after="0"/>
      </w:pPr>
      <w:r w:rsidRPr="00D775C1">
        <w:t>$50 – Arizona state exam</w:t>
      </w:r>
      <w:r>
        <w:t xml:space="preserve"> (required to become certified)</w:t>
      </w:r>
      <w:r w:rsidR="00E61456">
        <w:rPr>
          <w:rStyle w:val="FootnoteReference"/>
        </w:rPr>
        <w:t>3</w:t>
      </w:r>
    </w:p>
    <w:p w14:paraId="361D5899" w14:textId="77777777" w:rsidR="00D775C1" w:rsidRDefault="00D775C1" w:rsidP="00853063">
      <w:pPr>
        <w:numPr>
          <w:ilvl w:val="0"/>
          <w:numId w:val="1"/>
        </w:numPr>
        <w:spacing w:after="0"/>
      </w:pPr>
      <w:r w:rsidRPr="00D775C1">
        <w:t>$500+ – Ongoing CEUs</w:t>
      </w:r>
    </w:p>
    <w:p w14:paraId="3C69AB3F" w14:textId="77777777" w:rsidR="00853063" w:rsidRPr="00D775C1" w:rsidRDefault="00853063" w:rsidP="00853063">
      <w:pPr>
        <w:numPr>
          <w:ilvl w:val="0"/>
          <w:numId w:val="1"/>
        </w:numPr>
        <w:spacing w:after="0"/>
      </w:pPr>
    </w:p>
    <w:p w14:paraId="1EDCA439" w14:textId="77777777" w:rsidR="00D775C1" w:rsidRPr="00D775C1" w:rsidRDefault="00D775C1" w:rsidP="00D775C1">
      <w:r w:rsidRPr="00D775C1">
        <w:t xml:space="preserve">That’s well over </w:t>
      </w:r>
      <w:r w:rsidRPr="00D775C1">
        <w:rPr>
          <w:b/>
          <w:bCs/>
        </w:rPr>
        <w:t>$13,000 in startup costs</w:t>
      </w:r>
      <w:r w:rsidRPr="00D775C1">
        <w:t xml:space="preserve"> before paper, ink, maintenance, or additional certification fees are even factored in.</w:t>
      </w:r>
    </w:p>
    <w:p w14:paraId="1194F2DB" w14:textId="77777777" w:rsidR="00D775C1" w:rsidRPr="00D775C1" w:rsidRDefault="00D775C1" w:rsidP="00D775C1">
      <w:pPr>
        <w:rPr>
          <w:b/>
          <w:bCs/>
        </w:rPr>
      </w:pPr>
      <w:r w:rsidRPr="00D775C1">
        <w:rPr>
          <w:b/>
          <w:bCs/>
        </w:rPr>
        <w:t>I urge you to reconsider this fee increase and instead explore solutions that support and strengthen the profession—rather than making it harder for court reporters to enter or remain in the field.</w:t>
      </w:r>
    </w:p>
    <w:p w14:paraId="1A356E5D" w14:textId="69EC83C2" w:rsidR="00D775C1" w:rsidRPr="00D775C1" w:rsidRDefault="00D775C1" w:rsidP="00D775C1">
      <w:r w:rsidRPr="00D775C1">
        <w:t>Sincerely,</w:t>
      </w:r>
      <w:r w:rsidRPr="00D775C1">
        <w:br/>
      </w:r>
      <w:r w:rsidR="00853063">
        <w:t>Angela Furniss Miller, RPR</w:t>
      </w:r>
      <w:r w:rsidRPr="00D775C1">
        <w:br/>
      </w:r>
      <w:r w:rsidR="00853063">
        <w:t>AZ CR50127</w:t>
      </w:r>
      <w:r w:rsidRPr="00D775C1">
        <w:br/>
      </w:r>
      <w:r w:rsidR="00853063">
        <w:t>Litchfield Park, Arizona</w:t>
      </w:r>
      <w:r w:rsidRPr="00D775C1">
        <w:br/>
      </w:r>
      <w:r w:rsidR="00853063">
        <w:t>25 Years Freelance Certified Reporter</w:t>
      </w:r>
    </w:p>
    <w:p w14:paraId="38F63FFB" w14:textId="77777777" w:rsidR="008E6964" w:rsidRPr="00D775C1" w:rsidRDefault="008E6964" w:rsidP="00D775C1"/>
    <w:sectPr w:rsidR="008E6964" w:rsidRPr="00D775C1" w:rsidSect="00853063">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9F0E" w14:textId="77777777" w:rsidR="002861AC" w:rsidRDefault="002861AC" w:rsidP="00D775C1">
      <w:pPr>
        <w:spacing w:after="0" w:line="240" w:lineRule="auto"/>
      </w:pPr>
      <w:r>
        <w:separator/>
      </w:r>
    </w:p>
  </w:endnote>
  <w:endnote w:type="continuationSeparator" w:id="0">
    <w:p w14:paraId="4E9BF9BE" w14:textId="77777777" w:rsidR="002861AC" w:rsidRDefault="002861AC" w:rsidP="00D77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8AC3" w14:textId="77777777" w:rsidR="002861AC" w:rsidRDefault="002861AC" w:rsidP="00D775C1">
      <w:pPr>
        <w:spacing w:after="0" w:line="240" w:lineRule="auto"/>
      </w:pPr>
      <w:r>
        <w:separator/>
      </w:r>
    </w:p>
  </w:footnote>
  <w:footnote w:type="continuationSeparator" w:id="0">
    <w:p w14:paraId="74A1FFC5" w14:textId="77777777" w:rsidR="002861AC" w:rsidRDefault="002861AC" w:rsidP="00D775C1">
      <w:pPr>
        <w:spacing w:after="0" w:line="240" w:lineRule="auto"/>
      </w:pPr>
      <w:r>
        <w:continuationSeparator/>
      </w:r>
    </w:p>
  </w:footnote>
  <w:footnote w:id="1">
    <w:p w14:paraId="6D2DB661" w14:textId="00B474E3" w:rsidR="00853063" w:rsidRDefault="00853063">
      <w:pPr>
        <w:pStyle w:val="FootnoteText"/>
      </w:pPr>
      <w:r>
        <w:rPr>
          <w:rStyle w:val="FootnoteReference"/>
        </w:rPr>
        <w:footnoteRef/>
      </w:r>
      <w:hyperlink r:id="rId1" w:history="1">
        <w:r w:rsidRPr="00853063">
          <w:rPr>
            <w:rStyle w:val="Hyperlink"/>
          </w:rPr>
          <w:t>NexGen Stenographer Machine | Advanced Reporting Technology</w:t>
        </w:r>
      </w:hyperlink>
      <w:r>
        <w:t xml:space="preserve">  Sale price of $4.999.00 limited time</w:t>
      </w:r>
    </w:p>
  </w:footnote>
  <w:footnote w:id="2">
    <w:p w14:paraId="3A734315" w14:textId="369DA1DE" w:rsidR="00853063" w:rsidRPr="00853063" w:rsidRDefault="00853063">
      <w:pPr>
        <w:pStyle w:val="FootnoteText"/>
        <w:rPr>
          <w:b/>
          <w:bCs/>
        </w:rPr>
      </w:pPr>
      <w:r>
        <w:rPr>
          <w:rStyle w:val="FootnoteReference"/>
        </w:rPr>
        <w:footnoteRef/>
      </w:r>
      <w:r>
        <w:t xml:space="preserve"> </w:t>
      </w:r>
      <w:hyperlink r:id="rId2" w:history="1">
        <w:r w:rsidRPr="00853063">
          <w:rPr>
            <w:rStyle w:val="Hyperlink"/>
          </w:rPr>
          <w:t>Case CATalyst Pro | Advanced Transcription Software</w:t>
        </w:r>
      </w:hyperlink>
    </w:p>
  </w:footnote>
  <w:footnote w:id="3">
    <w:p w14:paraId="0864F306" w14:textId="2190E8C0" w:rsidR="00D775C1" w:rsidRDefault="00D775C1">
      <w:pPr>
        <w:pStyle w:val="FootnoteText"/>
      </w:pPr>
      <w:r>
        <w:rPr>
          <w:rStyle w:val="FootnoteReference"/>
        </w:rPr>
        <w:footnoteRef/>
      </w:r>
      <w:r>
        <w:t xml:space="preserve"> </w:t>
      </w:r>
      <w:r w:rsidR="00853063">
        <w:t xml:space="preserve">ACJA </w:t>
      </w:r>
      <w:r w:rsidR="00853063" w:rsidRPr="00853063">
        <w:t>Section 7-206</w:t>
      </w:r>
      <w:r w:rsidR="00853063">
        <w:t xml:space="preserve"> Subsection </w:t>
      </w:r>
      <w:r w:rsidR="00853063" w:rsidRPr="00853063">
        <w:t>E. Initial Certification.</w:t>
      </w:r>
      <w:r w:rsidR="00853063">
        <w:t xml:space="preserve">  </w:t>
      </w:r>
      <w:r w:rsidRPr="00D775C1">
        <w:t>All candidates for certification as a certified reporter shall successfully pass the National Court Reporters Association’s Registered Professional Reporter (RPR) examination or the National Verbatim Reporters Association’s Certified Verbatim Reporters (CVR) examination, and a written knowledge test of rules and Arizona statutes relating to certified reporters. All potential candidates for certification must take and pass the examinations to be eligible for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B1993A7" w14:textId="77777777" w:rsidR="00C42613" w:rsidRDefault="00C42613">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68E1B057" w14:textId="77777777" w:rsidR="00C42613" w:rsidRDefault="00C42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73F1B"/>
    <w:multiLevelType w:val="multilevel"/>
    <w:tmpl w:val="4E62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503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64"/>
    <w:rsid w:val="00001A19"/>
    <w:rsid w:val="002861AC"/>
    <w:rsid w:val="002F4415"/>
    <w:rsid w:val="004F3307"/>
    <w:rsid w:val="006E0F71"/>
    <w:rsid w:val="00800ADF"/>
    <w:rsid w:val="008160E8"/>
    <w:rsid w:val="00853063"/>
    <w:rsid w:val="00860EBA"/>
    <w:rsid w:val="008E6964"/>
    <w:rsid w:val="009C1915"/>
    <w:rsid w:val="00BB6F9F"/>
    <w:rsid w:val="00C42613"/>
    <w:rsid w:val="00D775C1"/>
    <w:rsid w:val="00E0501A"/>
    <w:rsid w:val="00E61456"/>
    <w:rsid w:val="00EC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E7680"/>
  <w15:chartTrackingRefBased/>
  <w15:docId w15:val="{60589AEA-F83C-46A3-8B02-FE81BF27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964"/>
    <w:rPr>
      <w:rFonts w:eastAsiaTheme="majorEastAsia" w:cstheme="majorBidi"/>
      <w:color w:val="272727" w:themeColor="text1" w:themeTint="D8"/>
    </w:rPr>
  </w:style>
  <w:style w:type="paragraph" w:styleId="Title">
    <w:name w:val="Title"/>
    <w:basedOn w:val="Normal"/>
    <w:next w:val="Normal"/>
    <w:link w:val="TitleChar"/>
    <w:uiPriority w:val="10"/>
    <w:qFormat/>
    <w:rsid w:val="008E6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964"/>
    <w:pPr>
      <w:spacing w:before="160"/>
      <w:jc w:val="center"/>
    </w:pPr>
    <w:rPr>
      <w:i/>
      <w:iCs/>
      <w:color w:val="404040" w:themeColor="text1" w:themeTint="BF"/>
    </w:rPr>
  </w:style>
  <w:style w:type="character" w:customStyle="1" w:styleId="QuoteChar">
    <w:name w:val="Quote Char"/>
    <w:basedOn w:val="DefaultParagraphFont"/>
    <w:link w:val="Quote"/>
    <w:uiPriority w:val="29"/>
    <w:rsid w:val="008E6964"/>
    <w:rPr>
      <w:i/>
      <w:iCs/>
      <w:color w:val="404040" w:themeColor="text1" w:themeTint="BF"/>
    </w:rPr>
  </w:style>
  <w:style w:type="paragraph" w:styleId="ListParagraph">
    <w:name w:val="List Paragraph"/>
    <w:basedOn w:val="Normal"/>
    <w:uiPriority w:val="34"/>
    <w:qFormat/>
    <w:rsid w:val="008E6964"/>
    <w:pPr>
      <w:ind w:left="720"/>
      <w:contextualSpacing/>
    </w:pPr>
  </w:style>
  <w:style w:type="character" w:styleId="IntenseEmphasis">
    <w:name w:val="Intense Emphasis"/>
    <w:basedOn w:val="DefaultParagraphFont"/>
    <w:uiPriority w:val="21"/>
    <w:qFormat/>
    <w:rsid w:val="008E6964"/>
    <w:rPr>
      <w:i/>
      <w:iCs/>
      <w:color w:val="0F4761" w:themeColor="accent1" w:themeShade="BF"/>
    </w:rPr>
  </w:style>
  <w:style w:type="paragraph" w:styleId="IntenseQuote">
    <w:name w:val="Intense Quote"/>
    <w:basedOn w:val="Normal"/>
    <w:next w:val="Normal"/>
    <w:link w:val="IntenseQuoteChar"/>
    <w:uiPriority w:val="30"/>
    <w:qFormat/>
    <w:rsid w:val="008E6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964"/>
    <w:rPr>
      <w:i/>
      <w:iCs/>
      <w:color w:val="0F4761" w:themeColor="accent1" w:themeShade="BF"/>
    </w:rPr>
  </w:style>
  <w:style w:type="character" w:styleId="IntenseReference">
    <w:name w:val="Intense Reference"/>
    <w:basedOn w:val="DefaultParagraphFont"/>
    <w:uiPriority w:val="32"/>
    <w:qFormat/>
    <w:rsid w:val="008E6964"/>
    <w:rPr>
      <w:b/>
      <w:bCs/>
      <w:smallCaps/>
      <w:color w:val="0F4761" w:themeColor="accent1" w:themeShade="BF"/>
      <w:spacing w:val="5"/>
    </w:rPr>
  </w:style>
  <w:style w:type="paragraph" w:styleId="FootnoteText">
    <w:name w:val="footnote text"/>
    <w:basedOn w:val="Normal"/>
    <w:link w:val="FootnoteTextChar"/>
    <w:uiPriority w:val="99"/>
    <w:semiHidden/>
    <w:unhideWhenUsed/>
    <w:rsid w:val="00D77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5C1"/>
    <w:rPr>
      <w:sz w:val="20"/>
      <w:szCs w:val="20"/>
    </w:rPr>
  </w:style>
  <w:style w:type="character" w:styleId="FootnoteReference">
    <w:name w:val="footnote reference"/>
    <w:basedOn w:val="DefaultParagraphFont"/>
    <w:uiPriority w:val="99"/>
    <w:semiHidden/>
    <w:unhideWhenUsed/>
    <w:rsid w:val="00D775C1"/>
    <w:rPr>
      <w:vertAlign w:val="superscript"/>
    </w:rPr>
  </w:style>
  <w:style w:type="character" w:styleId="Hyperlink">
    <w:name w:val="Hyperlink"/>
    <w:basedOn w:val="DefaultParagraphFont"/>
    <w:uiPriority w:val="99"/>
    <w:unhideWhenUsed/>
    <w:rsid w:val="00853063"/>
    <w:rPr>
      <w:color w:val="467886" w:themeColor="hyperlink"/>
      <w:u w:val="single"/>
    </w:rPr>
  </w:style>
  <w:style w:type="character" w:styleId="UnresolvedMention">
    <w:name w:val="Unresolved Mention"/>
    <w:basedOn w:val="DefaultParagraphFont"/>
    <w:uiPriority w:val="99"/>
    <w:semiHidden/>
    <w:unhideWhenUsed/>
    <w:rsid w:val="00853063"/>
    <w:rPr>
      <w:color w:val="605E5C"/>
      <w:shd w:val="clear" w:color="auto" w:fill="E1DFDD"/>
    </w:rPr>
  </w:style>
  <w:style w:type="paragraph" w:styleId="Header">
    <w:name w:val="header"/>
    <w:basedOn w:val="Normal"/>
    <w:link w:val="HeaderChar"/>
    <w:uiPriority w:val="99"/>
    <w:unhideWhenUsed/>
    <w:rsid w:val="00C42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613"/>
  </w:style>
  <w:style w:type="paragraph" w:styleId="Footer">
    <w:name w:val="footer"/>
    <w:basedOn w:val="Normal"/>
    <w:link w:val="FooterChar"/>
    <w:uiPriority w:val="99"/>
    <w:unhideWhenUsed/>
    <w:rsid w:val="00C42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852278">
      <w:bodyDiv w:val="1"/>
      <w:marLeft w:val="0"/>
      <w:marRight w:val="0"/>
      <w:marTop w:val="0"/>
      <w:marBottom w:val="0"/>
      <w:divBdr>
        <w:top w:val="none" w:sz="0" w:space="0" w:color="auto"/>
        <w:left w:val="none" w:sz="0" w:space="0" w:color="auto"/>
        <w:bottom w:val="none" w:sz="0" w:space="0" w:color="auto"/>
        <w:right w:val="none" w:sz="0" w:space="0" w:color="auto"/>
      </w:divBdr>
      <w:divsChild>
        <w:div w:id="1152913100">
          <w:marLeft w:val="0"/>
          <w:marRight w:val="0"/>
          <w:marTop w:val="0"/>
          <w:marBottom w:val="0"/>
          <w:divBdr>
            <w:top w:val="none" w:sz="0" w:space="0" w:color="auto"/>
            <w:left w:val="none" w:sz="0" w:space="0" w:color="auto"/>
            <w:bottom w:val="none" w:sz="0" w:space="0" w:color="auto"/>
            <w:right w:val="none" w:sz="0" w:space="0" w:color="auto"/>
          </w:divBdr>
          <w:divsChild>
            <w:div w:id="13960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8997">
      <w:bodyDiv w:val="1"/>
      <w:marLeft w:val="0"/>
      <w:marRight w:val="0"/>
      <w:marTop w:val="0"/>
      <w:marBottom w:val="0"/>
      <w:divBdr>
        <w:top w:val="none" w:sz="0" w:space="0" w:color="auto"/>
        <w:left w:val="none" w:sz="0" w:space="0" w:color="auto"/>
        <w:bottom w:val="none" w:sz="0" w:space="0" w:color="auto"/>
        <w:right w:val="none" w:sz="0" w:space="0" w:color="auto"/>
      </w:divBdr>
    </w:div>
    <w:div w:id="1300308183">
      <w:bodyDiv w:val="1"/>
      <w:marLeft w:val="0"/>
      <w:marRight w:val="0"/>
      <w:marTop w:val="0"/>
      <w:marBottom w:val="0"/>
      <w:divBdr>
        <w:top w:val="none" w:sz="0" w:space="0" w:color="auto"/>
        <w:left w:val="none" w:sz="0" w:space="0" w:color="auto"/>
        <w:bottom w:val="none" w:sz="0" w:space="0" w:color="auto"/>
        <w:right w:val="none" w:sz="0" w:space="0" w:color="auto"/>
      </w:divBdr>
    </w:div>
    <w:div w:id="1827092019">
      <w:bodyDiv w:val="1"/>
      <w:marLeft w:val="0"/>
      <w:marRight w:val="0"/>
      <w:marTop w:val="0"/>
      <w:marBottom w:val="0"/>
      <w:divBdr>
        <w:top w:val="none" w:sz="0" w:space="0" w:color="auto"/>
        <w:left w:val="none" w:sz="0" w:space="0" w:color="auto"/>
        <w:bottom w:val="none" w:sz="0" w:space="0" w:color="auto"/>
        <w:right w:val="none" w:sz="0" w:space="0" w:color="auto"/>
      </w:divBdr>
      <w:divsChild>
        <w:div w:id="78258072">
          <w:marLeft w:val="0"/>
          <w:marRight w:val="0"/>
          <w:marTop w:val="0"/>
          <w:marBottom w:val="0"/>
          <w:divBdr>
            <w:top w:val="none" w:sz="0" w:space="0" w:color="auto"/>
            <w:left w:val="none" w:sz="0" w:space="0" w:color="auto"/>
            <w:bottom w:val="none" w:sz="0" w:space="0" w:color="auto"/>
            <w:right w:val="none" w:sz="0" w:space="0" w:color="auto"/>
          </w:divBdr>
          <w:divsChild>
            <w:div w:id="8469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tenograph.com/software/case-catalyst/catalyst-pro-39441?returnurl=%2fsoftware%2fcase-catalyst%2f%2339441" TargetMode="External"/><Relationship Id="rId1" Type="http://schemas.openxmlformats.org/officeDocument/2006/relationships/hyperlink" Target="https://www.stenograph.com/nex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2118</Characters>
  <Application>Microsoft Office Word</Application>
  <DocSecurity>0</DocSecurity>
  <Lines>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miller</dc:creator>
  <cp:keywords/>
  <dc:description/>
  <cp:lastModifiedBy>angela miller</cp:lastModifiedBy>
  <cp:revision>2</cp:revision>
  <cp:lastPrinted>2025-07-14T02:47:00Z</cp:lastPrinted>
  <dcterms:created xsi:type="dcterms:W3CDTF">2025-07-14T02:48:00Z</dcterms:created>
  <dcterms:modified xsi:type="dcterms:W3CDTF">2025-07-14T02:48:00Z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12f1f031-9ffa-4e3a-8ab3-a852d45eba64</vt:lpwstr>
  </property>
</Properties>
</file>