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1106" w14:textId="77777777" w:rsidR="009574C5" w:rsidRDefault="009574C5" w:rsidP="001F695A">
      <w:pPr>
        <w:jc w:val="center"/>
        <w:rPr>
          <w:b/>
          <w:bCs/>
        </w:rPr>
      </w:pPr>
      <w:smartTag w:uri="urn:schemas-microsoft-com:office:smarttags" w:element="State">
        <w:smartTag w:uri="urn:schemas-microsoft-com:office:smarttags" w:element="place">
          <w:r w:rsidRPr="003A4214">
            <w:rPr>
              <w:b/>
              <w:bCs/>
            </w:rPr>
            <w:t>ARIZONA</w:t>
          </w:r>
        </w:smartTag>
      </w:smartTag>
      <w:r w:rsidRPr="003A4214">
        <w:rPr>
          <w:b/>
          <w:bCs/>
        </w:rPr>
        <w:t xml:space="preserve"> CODE OF JUDICIAL ADMINISTRATION</w:t>
      </w:r>
    </w:p>
    <w:p w14:paraId="29B8F530" w14:textId="77777777" w:rsidR="009574C5" w:rsidRPr="000C68B9" w:rsidRDefault="009574C5" w:rsidP="001F695A">
      <w:pPr>
        <w:jc w:val="center"/>
        <w:rPr>
          <w:b/>
          <w:bCs/>
        </w:rPr>
      </w:pPr>
      <w:r w:rsidRPr="000C68B9">
        <w:rPr>
          <w:b/>
          <w:bCs/>
        </w:rPr>
        <w:t xml:space="preserve">Part </w:t>
      </w:r>
      <w:r>
        <w:rPr>
          <w:b/>
          <w:bCs/>
        </w:rPr>
        <w:t>4</w:t>
      </w:r>
      <w:r w:rsidRPr="000C68B9">
        <w:rPr>
          <w:b/>
          <w:bCs/>
        </w:rPr>
        <w:t xml:space="preserve">: </w:t>
      </w:r>
      <w:r w:rsidR="007E3725">
        <w:rPr>
          <w:b/>
          <w:bCs/>
        </w:rPr>
        <w:t xml:space="preserve"> </w:t>
      </w:r>
      <w:r>
        <w:rPr>
          <w:b/>
          <w:bCs/>
        </w:rPr>
        <w:t>Limited Jurisdiction Courts</w:t>
      </w:r>
    </w:p>
    <w:p w14:paraId="37A2FC64" w14:textId="77777777" w:rsidR="009574C5" w:rsidRPr="000C68B9" w:rsidRDefault="009574C5" w:rsidP="001F695A">
      <w:pPr>
        <w:jc w:val="center"/>
        <w:rPr>
          <w:b/>
          <w:bCs/>
        </w:rPr>
      </w:pPr>
      <w:r w:rsidRPr="000C68B9">
        <w:rPr>
          <w:b/>
          <w:bCs/>
        </w:rPr>
        <w:t xml:space="preserve">Chapter </w:t>
      </w:r>
      <w:r>
        <w:rPr>
          <w:b/>
          <w:bCs/>
        </w:rPr>
        <w:t>3</w:t>
      </w:r>
      <w:r w:rsidRPr="000C68B9">
        <w:rPr>
          <w:b/>
          <w:bCs/>
        </w:rPr>
        <w:t>:</w:t>
      </w:r>
      <w:r>
        <w:rPr>
          <w:b/>
          <w:bCs/>
        </w:rPr>
        <w:t xml:space="preserve"> </w:t>
      </w:r>
      <w:r w:rsidR="007E3725">
        <w:rPr>
          <w:b/>
          <w:bCs/>
        </w:rPr>
        <w:t xml:space="preserve"> </w:t>
      </w:r>
      <w:r>
        <w:rPr>
          <w:b/>
          <w:bCs/>
        </w:rPr>
        <w:t>Administration</w:t>
      </w:r>
      <w:r w:rsidRPr="000C68B9">
        <w:rPr>
          <w:b/>
          <w:bCs/>
        </w:rPr>
        <w:t xml:space="preserve"> </w:t>
      </w:r>
    </w:p>
    <w:p w14:paraId="02B96CE3" w14:textId="77777777" w:rsidR="009574C5" w:rsidRPr="009574C5" w:rsidRDefault="009574C5" w:rsidP="001F695A">
      <w:pPr>
        <w:jc w:val="center"/>
        <w:rPr>
          <w:b/>
          <w:bCs/>
          <w:i/>
        </w:rPr>
      </w:pPr>
      <w:r w:rsidRPr="000C68B9">
        <w:rPr>
          <w:b/>
          <w:bCs/>
        </w:rPr>
        <w:t xml:space="preserve">Section </w:t>
      </w:r>
      <w:r>
        <w:rPr>
          <w:b/>
          <w:bCs/>
        </w:rPr>
        <w:t>4-302</w:t>
      </w:r>
      <w:r w:rsidRPr="000C68B9">
        <w:rPr>
          <w:b/>
          <w:bCs/>
        </w:rPr>
        <w:t xml:space="preserve">: </w:t>
      </w:r>
      <w:r w:rsidR="007E3725">
        <w:rPr>
          <w:b/>
          <w:bCs/>
        </w:rPr>
        <w:t xml:space="preserve"> </w:t>
      </w:r>
      <w:r w:rsidRPr="000C68B9">
        <w:rPr>
          <w:b/>
          <w:bCs/>
        </w:rPr>
        <w:t xml:space="preserve">Records Retention and </w:t>
      </w:r>
      <w:r w:rsidRPr="009574C5">
        <w:rPr>
          <w:b/>
          <w:bCs/>
        </w:rPr>
        <w:t>Disposition</w:t>
      </w:r>
      <w:r w:rsidR="0081066C">
        <w:rPr>
          <w:b/>
          <w:bCs/>
        </w:rPr>
        <w:t xml:space="preserve"> </w:t>
      </w:r>
      <w:r w:rsidR="0081066C" w:rsidRPr="003F7043">
        <w:rPr>
          <w:b/>
          <w:bCs/>
        </w:rPr>
        <w:t>Schedule</w:t>
      </w:r>
    </w:p>
    <w:p w14:paraId="1E92EACD" w14:textId="77777777" w:rsidR="00F854A3" w:rsidRPr="005E3F0B" w:rsidRDefault="00F854A3" w:rsidP="00F854A3">
      <w:pPr>
        <w:snapToGrid w:val="0"/>
        <w:jc w:val="center"/>
        <w:rPr>
          <w:i/>
          <w:iCs/>
        </w:rPr>
      </w:pPr>
      <w:r w:rsidRPr="005E3F0B">
        <w:rPr>
          <w:i/>
          <w:iCs/>
        </w:rPr>
        <w:t xml:space="preserve">(new text shown in </w:t>
      </w:r>
      <w:r w:rsidRPr="005E3F0B">
        <w:rPr>
          <w:i/>
          <w:iCs/>
          <w:u w:val="single"/>
        </w:rPr>
        <w:t>underline</w:t>
      </w:r>
      <w:r w:rsidRPr="005E3F0B">
        <w:rPr>
          <w:i/>
          <w:iCs/>
        </w:rPr>
        <w:t xml:space="preserve">, deletions shown in </w:t>
      </w:r>
      <w:r w:rsidRPr="005E3F0B">
        <w:rPr>
          <w:i/>
          <w:iCs/>
          <w:strike/>
        </w:rPr>
        <w:t>strikethrough</w:t>
      </w:r>
      <w:r w:rsidRPr="005E3F0B">
        <w:rPr>
          <w:i/>
          <w:iCs/>
        </w:rPr>
        <w:t>)</w:t>
      </w:r>
    </w:p>
    <w:p w14:paraId="05468602" w14:textId="77777777" w:rsidR="00F854A3" w:rsidRPr="00E04E6D" w:rsidRDefault="00F854A3" w:rsidP="001F695A"/>
    <w:p w14:paraId="7D8FA26F" w14:textId="77777777" w:rsidR="009574C5" w:rsidRDefault="009574C5" w:rsidP="001F695A">
      <w:pPr>
        <w:tabs>
          <w:tab w:val="left" w:pos="360"/>
        </w:tabs>
        <w:ind w:left="360" w:hanging="360"/>
      </w:pPr>
      <w:r w:rsidRPr="0038655B">
        <w:rPr>
          <w:b/>
        </w:rPr>
        <w:t>A.</w:t>
      </w:r>
      <w:r>
        <w:rPr>
          <w:b/>
        </w:rPr>
        <w:tab/>
      </w:r>
      <w:r w:rsidRPr="0038655B">
        <w:rPr>
          <w:b/>
        </w:rPr>
        <w:t>Definitions.</w:t>
      </w:r>
      <w:r>
        <w:t xml:space="preserve">  In this section, the following definitions apply:</w:t>
      </w:r>
    </w:p>
    <w:p w14:paraId="0A5786DF" w14:textId="77777777" w:rsidR="009574C5" w:rsidRDefault="009574C5" w:rsidP="001F695A"/>
    <w:p w14:paraId="5ADDC6F1" w14:textId="77777777" w:rsidR="00CA499C" w:rsidRPr="003F7043" w:rsidRDefault="00CA499C" w:rsidP="00CA499C">
      <w:pPr>
        <w:snapToGrid w:val="0"/>
        <w:ind w:left="360"/>
        <w:jc w:val="both"/>
      </w:pPr>
      <w:r w:rsidRPr="003F7043">
        <w:t>“Case file” means all documents and other material filed with the clerk in an action or proceeding, either in paper or electronic format, including depositions, transcript</w:t>
      </w:r>
      <w:r w:rsidR="009E4503" w:rsidRPr="003F7043">
        <w:t xml:space="preserve">s, and case financial records. </w:t>
      </w:r>
      <w:r w:rsidRPr="003F7043">
        <w:t xml:space="preserve"> </w:t>
      </w:r>
      <w:r w:rsidRPr="003F7043">
        <w:rPr>
          <w:i/>
        </w:rPr>
        <w:t>Case file</w:t>
      </w:r>
      <w:r w:rsidRPr="003F7043">
        <w:t xml:space="preserve"> also includes case management system data but does not include </w:t>
      </w:r>
      <w:r w:rsidR="00F854A3">
        <w:rPr>
          <w:u w:val="single"/>
        </w:rPr>
        <w:t xml:space="preserve">illustrative aids or </w:t>
      </w:r>
      <w:r w:rsidRPr="003F7043">
        <w:t xml:space="preserve">exhibits submitted </w:t>
      </w:r>
      <w:r w:rsidR="00F854A3">
        <w:rPr>
          <w:u w:val="single"/>
        </w:rPr>
        <w:t xml:space="preserve">for use </w:t>
      </w:r>
      <w:r w:rsidRPr="003F7043">
        <w:t>at a hearing or trial.</w:t>
      </w:r>
    </w:p>
    <w:p w14:paraId="0925F2A8" w14:textId="77777777" w:rsidR="00CA499C" w:rsidRPr="00EF626E" w:rsidRDefault="00CA499C" w:rsidP="00CA499C">
      <w:pPr>
        <w:snapToGrid w:val="0"/>
        <w:jc w:val="both"/>
        <w:rPr>
          <w:u w:val="single"/>
        </w:rPr>
      </w:pPr>
    </w:p>
    <w:p w14:paraId="0FDAC81D" w14:textId="77777777" w:rsidR="00F854A3" w:rsidRPr="00190000" w:rsidRDefault="00F854A3" w:rsidP="00F854A3">
      <w:pPr>
        <w:snapToGrid w:val="0"/>
        <w:ind w:left="360"/>
        <w:jc w:val="center"/>
      </w:pPr>
      <w:r w:rsidRPr="004C709A">
        <w:t>*</w:t>
      </w:r>
      <w:r>
        <w:t xml:space="preserve">      *     *</w:t>
      </w:r>
    </w:p>
    <w:p w14:paraId="573BB309" w14:textId="77777777" w:rsidR="00CA499C" w:rsidRDefault="00CA499C" w:rsidP="00CA499C">
      <w:pPr>
        <w:ind w:left="360"/>
        <w:jc w:val="both"/>
      </w:pPr>
    </w:p>
    <w:p w14:paraId="28504A72" w14:textId="77777777" w:rsidR="00CA499C" w:rsidRPr="00EF626E" w:rsidRDefault="00CA499C" w:rsidP="00CA499C">
      <w:pPr>
        <w:ind w:left="360" w:hanging="360"/>
        <w:jc w:val="both"/>
        <w:rPr>
          <w:b/>
          <w:u w:val="single"/>
        </w:rPr>
      </w:pPr>
      <w:r w:rsidRPr="003F7043">
        <w:rPr>
          <w:b/>
        </w:rPr>
        <w:t>B.</w:t>
      </w:r>
      <w:r w:rsidRPr="00D3621D">
        <w:rPr>
          <w:b/>
        </w:rPr>
        <w:tab/>
      </w:r>
      <w:r w:rsidR="00F854A3">
        <w:rPr>
          <w:b/>
        </w:rPr>
        <w:t>[No change]</w:t>
      </w:r>
    </w:p>
    <w:p w14:paraId="2B44B9A7" w14:textId="77777777" w:rsidR="00CA499C" w:rsidRPr="00EF626E" w:rsidRDefault="00CA499C" w:rsidP="00CA499C">
      <w:pPr>
        <w:tabs>
          <w:tab w:val="left" w:pos="360"/>
        </w:tabs>
        <w:ind w:left="360" w:hanging="360"/>
        <w:jc w:val="both"/>
        <w:rPr>
          <w:b/>
          <w:u w:val="single"/>
        </w:rPr>
      </w:pPr>
    </w:p>
    <w:p w14:paraId="51348A59" w14:textId="77777777" w:rsidR="00CA499C" w:rsidRPr="00024050" w:rsidRDefault="00CA499C" w:rsidP="00CA499C">
      <w:pPr>
        <w:ind w:left="360" w:hanging="360"/>
        <w:jc w:val="both"/>
        <w:rPr>
          <w:snapToGrid/>
        </w:rPr>
      </w:pPr>
      <w:r w:rsidRPr="00024050">
        <w:rPr>
          <w:b/>
        </w:rPr>
        <w:t>C.</w:t>
      </w:r>
      <w:r w:rsidRPr="00024050">
        <w:rPr>
          <w:b/>
        </w:rPr>
        <w:tab/>
        <w:t>Historically Significant and Landmark Cases</w:t>
      </w:r>
      <w:r w:rsidRPr="00024050">
        <w:rPr>
          <w:snapToGrid/>
        </w:rPr>
        <w:t xml:space="preserve">.  </w:t>
      </w:r>
      <w:r w:rsidR="009B0492" w:rsidRPr="00024050">
        <w:rPr>
          <w:snapToGrid/>
        </w:rPr>
        <w:t>Records managers</w:t>
      </w:r>
      <w:r w:rsidRPr="00024050">
        <w:rPr>
          <w:snapToGrid/>
        </w:rPr>
        <w:t xml:space="preserve"> shall comply with the following procedures for designating and transferring cases determined to be historically significant or landmark:</w:t>
      </w:r>
    </w:p>
    <w:p w14:paraId="67AC69FF" w14:textId="77777777" w:rsidR="00CA499C" w:rsidRPr="000B4624" w:rsidRDefault="00CA499C" w:rsidP="00CA499C">
      <w:pPr>
        <w:tabs>
          <w:tab w:val="left" w:pos="360"/>
        </w:tabs>
        <w:ind w:left="360" w:hanging="360"/>
        <w:jc w:val="both"/>
        <w:rPr>
          <w:snapToGrid/>
          <w:u w:val="single"/>
        </w:rPr>
      </w:pPr>
    </w:p>
    <w:p w14:paraId="5C6B4A87" w14:textId="77777777" w:rsidR="00CA499C" w:rsidRPr="00024050" w:rsidRDefault="00CA499C" w:rsidP="00CA499C">
      <w:pPr>
        <w:numPr>
          <w:ilvl w:val="0"/>
          <w:numId w:val="4"/>
        </w:numPr>
        <w:snapToGrid w:val="0"/>
        <w:jc w:val="both"/>
        <w:rPr>
          <w:snapToGrid/>
        </w:rPr>
      </w:pPr>
      <w:r w:rsidRPr="00024050">
        <w:rPr>
          <w:snapToGrid/>
        </w:rPr>
        <w:t>Designation of a case as historically significant</w:t>
      </w:r>
    </w:p>
    <w:p w14:paraId="1B1716A7" w14:textId="77777777" w:rsidR="00CA499C" w:rsidRPr="00024050" w:rsidRDefault="00CA499C" w:rsidP="00CA499C">
      <w:pPr>
        <w:snapToGrid w:val="0"/>
        <w:ind w:left="720"/>
        <w:jc w:val="both"/>
        <w:rPr>
          <w:snapToGrid/>
        </w:rPr>
      </w:pPr>
    </w:p>
    <w:p w14:paraId="5FCCD6F0" w14:textId="77777777" w:rsidR="00F854A3" w:rsidRDefault="00F854A3" w:rsidP="00F854A3">
      <w:pPr>
        <w:numPr>
          <w:ilvl w:val="1"/>
          <w:numId w:val="4"/>
        </w:numPr>
        <w:snapToGrid w:val="0"/>
        <w:ind w:left="1080"/>
        <w:jc w:val="both"/>
        <w:rPr>
          <w:snapToGrid/>
        </w:rPr>
      </w:pPr>
      <w:r>
        <w:rPr>
          <w:snapToGrid/>
        </w:rPr>
        <w:t>and b. [No change]</w:t>
      </w:r>
    </w:p>
    <w:p w14:paraId="505E9FF6" w14:textId="77777777" w:rsidR="00F854A3" w:rsidRDefault="00F854A3" w:rsidP="00F854A3">
      <w:pPr>
        <w:snapToGrid w:val="0"/>
        <w:ind w:left="1080"/>
        <w:jc w:val="both"/>
        <w:rPr>
          <w:snapToGrid/>
        </w:rPr>
      </w:pPr>
    </w:p>
    <w:p w14:paraId="592B73FC" w14:textId="77777777" w:rsidR="00CA499C" w:rsidRPr="00F854A3" w:rsidRDefault="00CA499C" w:rsidP="00F854A3">
      <w:pPr>
        <w:numPr>
          <w:ilvl w:val="0"/>
          <w:numId w:val="22"/>
        </w:numPr>
        <w:snapToGrid w:val="0"/>
        <w:ind w:left="1080"/>
        <w:jc w:val="both"/>
        <w:rPr>
          <w:snapToGrid/>
        </w:rPr>
      </w:pPr>
      <w:r w:rsidRPr="00F854A3">
        <w:rPr>
          <w:snapToGrid/>
        </w:rPr>
        <w:t xml:space="preserve">Processing and transferring.  If the motion is granted, the </w:t>
      </w:r>
      <w:r w:rsidR="009B0492" w:rsidRPr="00F854A3">
        <w:rPr>
          <w:snapToGrid/>
        </w:rPr>
        <w:t>records manager</w:t>
      </w:r>
      <w:r w:rsidRPr="00F854A3">
        <w:rPr>
          <w:snapToGrid/>
        </w:rPr>
        <w:t xml:space="preserve"> shall, within 90 days of final disposition, transfer the case, a print-out of the register of actions or docket from the case management system, any exhibits </w:t>
      </w:r>
      <w:r w:rsidR="00F854A3">
        <w:rPr>
          <w:snapToGrid/>
          <w:u w:val="single"/>
        </w:rPr>
        <w:t xml:space="preserve">or illustrative aids </w:t>
      </w:r>
      <w:r w:rsidRPr="00F854A3">
        <w:rPr>
          <w:snapToGrid/>
        </w:rPr>
        <w:t xml:space="preserve">not previously retrieved or </w:t>
      </w:r>
      <w:r w:rsidRPr="00F854A3">
        <w:rPr>
          <w:strike/>
          <w:snapToGrid/>
        </w:rPr>
        <w:t>destroyed</w:t>
      </w:r>
      <w:r w:rsidR="00F854A3">
        <w:rPr>
          <w:strike/>
          <w:snapToGrid/>
        </w:rPr>
        <w:t xml:space="preserve"> </w:t>
      </w:r>
      <w:r w:rsidR="00F854A3">
        <w:rPr>
          <w:snapToGrid/>
          <w:u w:val="single"/>
        </w:rPr>
        <w:t>disposed</w:t>
      </w:r>
      <w:r w:rsidR="00F70DF5">
        <w:rPr>
          <w:snapToGrid/>
          <w:u w:val="single"/>
        </w:rPr>
        <w:t xml:space="preserve"> </w:t>
      </w:r>
      <w:r w:rsidR="00F70DF5" w:rsidRPr="0072698A">
        <w:rPr>
          <w:snapToGrid/>
          <w:u w:val="single"/>
        </w:rPr>
        <w:t>of</w:t>
      </w:r>
      <w:r w:rsidRPr="00F854A3">
        <w:rPr>
          <w:snapToGrid/>
        </w:rPr>
        <w:t>, and any microfilm to LAPR for permanent retention.</w:t>
      </w:r>
      <w:r w:rsidR="0038439E" w:rsidRPr="00F854A3">
        <w:rPr>
          <w:snapToGrid/>
        </w:rPr>
        <w:t xml:space="preserve">  LAPR will accept diagrams, maps, photographs, and any other paper-based materials.  LAPR will not accept three dimensional objects, clothing, or security-sensitive exhibits such as weapons, drugs, money, and bio-hazardous materials.  </w:t>
      </w:r>
      <w:r w:rsidRPr="00F854A3">
        <w:rPr>
          <w:snapToGrid/>
        </w:rPr>
        <w:t xml:space="preserve">Identification of the case as historically significant shall be prominently noted on the print-out of the register of actions or docket from the case management system transferred with the case to LAPR. </w:t>
      </w:r>
    </w:p>
    <w:p w14:paraId="730D7FA8" w14:textId="77777777" w:rsidR="00CA499C" w:rsidRPr="00024050" w:rsidRDefault="00CA499C" w:rsidP="00CA499C">
      <w:pPr>
        <w:snapToGrid w:val="0"/>
        <w:ind w:left="720"/>
        <w:jc w:val="both"/>
        <w:rPr>
          <w:snapToGrid/>
        </w:rPr>
      </w:pPr>
    </w:p>
    <w:p w14:paraId="67E74C8F" w14:textId="77777777" w:rsidR="00CA499C" w:rsidRPr="00024050" w:rsidRDefault="00CA499C" w:rsidP="00F854A3">
      <w:pPr>
        <w:numPr>
          <w:ilvl w:val="0"/>
          <w:numId w:val="4"/>
        </w:numPr>
        <w:snapToGrid w:val="0"/>
        <w:jc w:val="both"/>
        <w:rPr>
          <w:snapToGrid/>
        </w:rPr>
      </w:pPr>
      <w:r w:rsidRPr="00024050">
        <w:rPr>
          <w:snapToGrid/>
        </w:rPr>
        <w:t>Designation of a case as landmark</w:t>
      </w:r>
    </w:p>
    <w:p w14:paraId="2F7105F5" w14:textId="77777777" w:rsidR="00CA499C" w:rsidRPr="00024050" w:rsidRDefault="00CA499C" w:rsidP="00CA499C">
      <w:pPr>
        <w:snapToGrid w:val="0"/>
        <w:ind w:left="720"/>
        <w:jc w:val="both"/>
        <w:rPr>
          <w:snapToGrid/>
        </w:rPr>
      </w:pPr>
    </w:p>
    <w:p w14:paraId="1DFE5316" w14:textId="77777777" w:rsidR="00F854A3" w:rsidRDefault="00F854A3" w:rsidP="00F854A3">
      <w:pPr>
        <w:numPr>
          <w:ilvl w:val="1"/>
          <w:numId w:val="4"/>
        </w:numPr>
        <w:snapToGrid w:val="0"/>
        <w:ind w:left="1080"/>
        <w:jc w:val="both"/>
        <w:rPr>
          <w:snapToGrid/>
        </w:rPr>
      </w:pPr>
      <w:r>
        <w:rPr>
          <w:snapToGrid/>
        </w:rPr>
        <w:t>and b. [No change]</w:t>
      </w:r>
    </w:p>
    <w:p w14:paraId="40C6269E" w14:textId="77777777" w:rsidR="00F854A3" w:rsidRDefault="00F854A3" w:rsidP="00F854A3">
      <w:pPr>
        <w:snapToGrid w:val="0"/>
        <w:ind w:left="1080"/>
        <w:jc w:val="both"/>
        <w:rPr>
          <w:snapToGrid/>
        </w:rPr>
      </w:pPr>
    </w:p>
    <w:p w14:paraId="0CC45B03" w14:textId="77777777" w:rsidR="00CA499C" w:rsidRPr="00024050" w:rsidRDefault="00F854A3" w:rsidP="00F854A3">
      <w:pPr>
        <w:numPr>
          <w:ilvl w:val="0"/>
          <w:numId w:val="23"/>
        </w:numPr>
        <w:snapToGrid w:val="0"/>
        <w:ind w:left="1080"/>
        <w:jc w:val="both"/>
        <w:rPr>
          <w:snapToGrid/>
        </w:rPr>
      </w:pPr>
      <w:r w:rsidRPr="00F854A3">
        <w:rPr>
          <w:snapToGrid/>
        </w:rPr>
        <w:t>Processing and transferring.</w:t>
      </w:r>
      <w:r>
        <w:rPr>
          <w:snapToGrid/>
        </w:rPr>
        <w:t xml:space="preserve"> </w:t>
      </w:r>
      <w:r w:rsidR="00CA499C" w:rsidRPr="00024050">
        <w:rPr>
          <w:snapToGrid/>
        </w:rPr>
        <w:t xml:space="preserve">When a case has been designated as landmark, the clerk shall file the notice of this designation in the case.  The </w:t>
      </w:r>
      <w:r w:rsidR="009B0492" w:rsidRPr="00024050">
        <w:rPr>
          <w:snapToGrid/>
        </w:rPr>
        <w:t>records manager</w:t>
      </w:r>
      <w:r w:rsidR="00CA499C" w:rsidRPr="00024050">
        <w:rPr>
          <w:snapToGrid/>
        </w:rPr>
        <w:t xml:space="preserve"> shall immediately transfer the case, a print-out of the register of actions or docket from the case management system, any exhibits </w:t>
      </w:r>
      <w:r w:rsidR="0082774D">
        <w:rPr>
          <w:snapToGrid/>
          <w:u w:val="single"/>
        </w:rPr>
        <w:t>or illustrative aids</w:t>
      </w:r>
      <w:r w:rsidR="0082774D" w:rsidRPr="0082774D">
        <w:rPr>
          <w:snapToGrid/>
          <w:u w:val="single"/>
        </w:rPr>
        <w:t xml:space="preserve"> </w:t>
      </w:r>
      <w:r w:rsidR="00CA499C" w:rsidRPr="00024050">
        <w:rPr>
          <w:snapToGrid/>
        </w:rPr>
        <w:t xml:space="preserve">not previously retrieved or </w:t>
      </w:r>
      <w:r w:rsidR="00CA499C" w:rsidRPr="0082774D">
        <w:rPr>
          <w:strike/>
          <w:snapToGrid/>
        </w:rPr>
        <w:t>destroyed</w:t>
      </w:r>
      <w:r w:rsidR="0082774D">
        <w:rPr>
          <w:strike/>
          <w:snapToGrid/>
        </w:rPr>
        <w:t xml:space="preserve"> </w:t>
      </w:r>
      <w:r w:rsidR="0082774D">
        <w:rPr>
          <w:snapToGrid/>
          <w:u w:val="single"/>
        </w:rPr>
        <w:t>disposed</w:t>
      </w:r>
      <w:r w:rsidR="00F70DF5">
        <w:rPr>
          <w:snapToGrid/>
          <w:u w:val="single"/>
        </w:rPr>
        <w:t xml:space="preserve"> </w:t>
      </w:r>
      <w:r w:rsidR="00F70DF5" w:rsidRPr="0072698A">
        <w:rPr>
          <w:snapToGrid/>
          <w:u w:val="single"/>
        </w:rPr>
        <w:t>of</w:t>
      </w:r>
      <w:r w:rsidR="00CA499C" w:rsidRPr="00024050">
        <w:rPr>
          <w:snapToGrid/>
        </w:rPr>
        <w:t>, and any microfilm to LAPR for permanent retention.</w:t>
      </w:r>
      <w:r w:rsidR="00F519A5" w:rsidRPr="00024050">
        <w:rPr>
          <w:snapToGrid/>
        </w:rPr>
        <w:t xml:space="preserve">  LAPR will accept diagrams, maps, photographs, and any other paper-based materials.  </w:t>
      </w:r>
      <w:r w:rsidR="00F519A5" w:rsidRPr="00024050">
        <w:rPr>
          <w:snapToGrid/>
        </w:rPr>
        <w:lastRenderedPageBreak/>
        <w:t xml:space="preserve">LAPR will not accept three dimensional objects, clothing, or security-sensitive exhibits such as weapons, drugs, money, and bio-hazardous materials.  </w:t>
      </w:r>
      <w:r w:rsidR="00CA499C" w:rsidRPr="00024050">
        <w:rPr>
          <w:snapToGrid/>
        </w:rPr>
        <w:t>Identification of the case as landmark shall be prominently noted on the print-out of the register of actions or docket from the case management system transferred with the case to LAPR.</w:t>
      </w:r>
    </w:p>
    <w:p w14:paraId="63E42CDF" w14:textId="77777777" w:rsidR="00CA499C" w:rsidRPr="00024050" w:rsidRDefault="00CA499C" w:rsidP="001F695A">
      <w:pPr>
        <w:jc w:val="both"/>
      </w:pPr>
    </w:p>
    <w:p w14:paraId="439A5C59" w14:textId="77777777" w:rsidR="009574C5" w:rsidRPr="00A41466" w:rsidRDefault="00CA499C" w:rsidP="001F695A">
      <w:pPr>
        <w:tabs>
          <w:tab w:val="left" w:pos="360"/>
        </w:tabs>
        <w:ind w:left="360" w:hanging="360"/>
        <w:jc w:val="both"/>
      </w:pPr>
      <w:r w:rsidRPr="00024050">
        <w:rPr>
          <w:b/>
        </w:rPr>
        <w:t>D</w:t>
      </w:r>
      <w:r w:rsidR="009574C5" w:rsidRPr="0038655B">
        <w:rPr>
          <w:b/>
        </w:rPr>
        <w:t>.</w:t>
      </w:r>
      <w:r w:rsidR="009157F8">
        <w:rPr>
          <w:b/>
        </w:rPr>
        <w:tab/>
      </w:r>
      <w:r w:rsidR="003514AD">
        <w:rPr>
          <w:b/>
        </w:rPr>
        <w:t>[No change]</w:t>
      </w:r>
    </w:p>
    <w:p w14:paraId="13D5AD68" w14:textId="77777777" w:rsidR="009574C5" w:rsidRDefault="009574C5" w:rsidP="001F695A">
      <w:pPr>
        <w:tabs>
          <w:tab w:val="left" w:pos="360"/>
        </w:tabs>
        <w:ind w:left="360" w:hanging="360"/>
        <w:jc w:val="both"/>
      </w:pPr>
    </w:p>
    <w:p w14:paraId="076A37EA" w14:textId="77777777" w:rsidR="009574C5" w:rsidRDefault="001F6616" w:rsidP="001F695A">
      <w:pPr>
        <w:ind w:left="360" w:hanging="360"/>
        <w:jc w:val="both"/>
        <w:rPr>
          <w:bCs/>
        </w:rPr>
      </w:pPr>
      <w:r w:rsidRPr="00024050">
        <w:rPr>
          <w:b/>
        </w:rPr>
        <w:t>E</w:t>
      </w:r>
      <w:r w:rsidR="009574C5">
        <w:rPr>
          <w:b/>
        </w:rPr>
        <w:t>.</w:t>
      </w:r>
      <w:r w:rsidR="009157F8">
        <w:rPr>
          <w:b/>
        </w:rPr>
        <w:tab/>
      </w:r>
      <w:r w:rsidR="009574C5">
        <w:rPr>
          <w:b/>
        </w:rPr>
        <w:t>Retention and Disposition S</w:t>
      </w:r>
      <w:r w:rsidR="009574C5" w:rsidRPr="00DA1CB7">
        <w:rPr>
          <w:b/>
        </w:rPr>
        <w:t>chedule.</w:t>
      </w:r>
      <w:r w:rsidR="009574C5" w:rsidRPr="009157F8">
        <w:t xml:space="preserve">  </w:t>
      </w:r>
      <w:r w:rsidR="009574C5" w:rsidRPr="008B1E18">
        <w:rPr>
          <w:bCs/>
        </w:rPr>
        <w:t>Justice and municipal courts shall retain</w:t>
      </w:r>
      <w:r w:rsidR="009574C5">
        <w:rPr>
          <w:bCs/>
        </w:rPr>
        <w:t xml:space="preserve"> </w:t>
      </w:r>
      <w:r w:rsidR="009574C5" w:rsidRPr="008B1E18">
        <w:rPr>
          <w:bCs/>
        </w:rPr>
        <w:t>records according to the following schedule:</w:t>
      </w:r>
    </w:p>
    <w:p w14:paraId="10EFCA47" w14:textId="77777777" w:rsidR="001F6616" w:rsidRDefault="001F6616" w:rsidP="001F695A">
      <w:pPr>
        <w:ind w:left="360" w:hanging="360"/>
        <w:jc w:val="both"/>
      </w:pPr>
    </w:p>
    <w:p w14:paraId="5A2FB718" w14:textId="77777777" w:rsidR="0082774D" w:rsidRDefault="0082774D" w:rsidP="0082774D">
      <w:pPr>
        <w:snapToGrid w:val="0"/>
        <w:ind w:left="360" w:hanging="630"/>
        <w:jc w:val="both"/>
        <w:rPr>
          <w:bCs/>
        </w:rPr>
      </w:pPr>
      <w:r w:rsidRPr="00D7038A">
        <w:rPr>
          <w:bCs/>
        </w:rPr>
        <w:t>Record Series 1. through 2</w:t>
      </w:r>
      <w:r>
        <w:rPr>
          <w:bCs/>
        </w:rPr>
        <w:t>0</w:t>
      </w:r>
      <w:r w:rsidRPr="00D7038A">
        <w:rPr>
          <w:bCs/>
        </w:rPr>
        <w:t>. [No change]</w:t>
      </w:r>
    </w:p>
    <w:p w14:paraId="7390017C" w14:textId="77777777" w:rsidR="0082774D" w:rsidRDefault="0082774D" w:rsidP="001F695A">
      <w:pPr>
        <w:ind w:left="360" w:hanging="360"/>
        <w:jc w:val="both"/>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06"/>
        <w:gridCol w:w="2977"/>
        <w:gridCol w:w="2610"/>
        <w:gridCol w:w="1530"/>
        <w:gridCol w:w="1906"/>
        <w:gridCol w:w="23"/>
      </w:tblGrid>
      <w:tr w:rsidR="002039EE" w:rsidRPr="00024050" w14:paraId="640B0A4B" w14:textId="77777777" w:rsidTr="0096109A">
        <w:trPr>
          <w:gridAfter w:val="1"/>
          <w:wAfter w:w="23" w:type="dxa"/>
          <w:cantSplit/>
          <w:trHeight w:val="638"/>
          <w:tblHeader/>
          <w:jc w:val="center"/>
        </w:trPr>
        <w:tc>
          <w:tcPr>
            <w:tcW w:w="1006" w:type="dxa"/>
            <w:tcBorders>
              <w:bottom w:val="single" w:sz="4" w:space="0" w:color="auto"/>
            </w:tcBorders>
            <w:shd w:val="clear" w:color="auto" w:fill="E6E6E6"/>
          </w:tcPr>
          <w:p w14:paraId="7695F638" w14:textId="77777777" w:rsidR="002039EE" w:rsidRPr="00024050" w:rsidRDefault="002039EE" w:rsidP="000463A9">
            <w:pPr>
              <w:rPr>
                <w:b/>
              </w:rPr>
            </w:pPr>
            <w:r w:rsidRPr="00024050">
              <w:rPr>
                <w:b/>
              </w:rPr>
              <w:t xml:space="preserve">Record Series </w:t>
            </w:r>
            <w:r w:rsidR="00DD1E4B" w:rsidRPr="00024050">
              <w:rPr>
                <w:b/>
              </w:rPr>
              <w:t>No.</w:t>
            </w:r>
          </w:p>
        </w:tc>
        <w:tc>
          <w:tcPr>
            <w:tcW w:w="2977" w:type="dxa"/>
            <w:tcBorders>
              <w:bottom w:val="single" w:sz="4" w:space="0" w:color="auto"/>
            </w:tcBorders>
            <w:shd w:val="clear" w:color="auto" w:fill="E6E6E6"/>
          </w:tcPr>
          <w:p w14:paraId="7213AC11" w14:textId="77777777" w:rsidR="002039EE" w:rsidRPr="00024050" w:rsidRDefault="002039EE" w:rsidP="000463A9">
            <w:pPr>
              <w:ind w:left="355" w:hanging="355"/>
              <w:outlineLvl w:val="0"/>
              <w:rPr>
                <w:b/>
              </w:rPr>
            </w:pPr>
            <w:r w:rsidRPr="00024050">
              <w:rPr>
                <w:b/>
              </w:rPr>
              <w:t>Record Series Title</w:t>
            </w:r>
          </w:p>
        </w:tc>
        <w:tc>
          <w:tcPr>
            <w:tcW w:w="2610" w:type="dxa"/>
            <w:shd w:val="clear" w:color="auto" w:fill="E6E6E6"/>
          </w:tcPr>
          <w:p w14:paraId="77BCED67" w14:textId="77777777" w:rsidR="002039EE" w:rsidRPr="00024050" w:rsidRDefault="002039EE" w:rsidP="000463A9">
            <w:pPr>
              <w:outlineLvl w:val="0"/>
              <w:rPr>
                <w:b/>
                <w:bCs/>
              </w:rPr>
            </w:pPr>
            <w:r w:rsidRPr="00024050">
              <w:rPr>
                <w:b/>
                <w:bCs/>
              </w:rPr>
              <w:t>Retention</w:t>
            </w:r>
          </w:p>
          <w:p w14:paraId="25EC718B" w14:textId="77777777" w:rsidR="002039EE" w:rsidRPr="00024050" w:rsidRDefault="002039EE" w:rsidP="000463A9">
            <w:pPr>
              <w:outlineLvl w:val="0"/>
            </w:pPr>
            <w:r w:rsidRPr="00024050">
              <w:rPr>
                <w:b/>
                <w:bCs/>
              </w:rPr>
              <w:t>Period with Court</w:t>
            </w:r>
          </w:p>
        </w:tc>
        <w:tc>
          <w:tcPr>
            <w:tcW w:w="1530" w:type="dxa"/>
            <w:shd w:val="clear" w:color="auto" w:fill="E6E6E6"/>
          </w:tcPr>
          <w:p w14:paraId="7ACCB556" w14:textId="77777777" w:rsidR="002039EE" w:rsidRPr="00024050" w:rsidRDefault="002039EE" w:rsidP="0078618F">
            <w:pPr>
              <w:pStyle w:val="CommentText"/>
              <w:outlineLvl w:val="0"/>
              <w:rPr>
                <w:b/>
                <w:bCs w:val="0"/>
                <w:color w:val="000000"/>
                <w:sz w:val="24"/>
                <w:szCs w:val="24"/>
              </w:rPr>
            </w:pPr>
            <w:r w:rsidRPr="00024050">
              <w:rPr>
                <w:b/>
                <w:bCs w:val="0"/>
                <w:color w:val="000000"/>
                <w:sz w:val="24"/>
                <w:szCs w:val="24"/>
              </w:rPr>
              <w:t>Retention Period on</w:t>
            </w:r>
            <w:r w:rsidR="00E27B60" w:rsidRPr="00024050">
              <w:rPr>
                <w:b/>
                <w:bCs w:val="0"/>
                <w:color w:val="000000"/>
                <w:sz w:val="24"/>
                <w:szCs w:val="24"/>
              </w:rPr>
              <w:t xml:space="preserve"> Arizona Supreme Court and Local</w:t>
            </w:r>
            <w:r w:rsidRPr="00024050">
              <w:rPr>
                <w:b/>
                <w:bCs w:val="0"/>
                <w:color w:val="000000"/>
                <w:sz w:val="24"/>
                <w:szCs w:val="24"/>
              </w:rPr>
              <w:t xml:space="preserve"> Court</w:t>
            </w:r>
            <w:r w:rsidR="00E27B60" w:rsidRPr="00024050">
              <w:rPr>
                <w:b/>
                <w:bCs w:val="0"/>
                <w:color w:val="000000"/>
                <w:sz w:val="24"/>
                <w:szCs w:val="24"/>
              </w:rPr>
              <w:t xml:space="preserve"> Public</w:t>
            </w:r>
            <w:r w:rsidRPr="00024050">
              <w:rPr>
                <w:b/>
                <w:bCs w:val="0"/>
                <w:color w:val="000000"/>
                <w:sz w:val="24"/>
                <w:szCs w:val="24"/>
              </w:rPr>
              <w:t xml:space="preserve"> Website</w:t>
            </w:r>
            <w:r w:rsidR="0078618F" w:rsidRPr="00024050">
              <w:rPr>
                <w:b/>
                <w:bCs w:val="0"/>
                <w:color w:val="000000"/>
                <w:sz w:val="24"/>
                <w:szCs w:val="24"/>
              </w:rPr>
              <w:t>s</w:t>
            </w:r>
          </w:p>
        </w:tc>
        <w:tc>
          <w:tcPr>
            <w:tcW w:w="1906" w:type="dxa"/>
            <w:shd w:val="clear" w:color="auto" w:fill="E6E6E6"/>
          </w:tcPr>
          <w:p w14:paraId="1A55AE43" w14:textId="77777777" w:rsidR="002039EE" w:rsidRPr="00024050" w:rsidRDefault="002039EE" w:rsidP="000463A9">
            <w:pPr>
              <w:pStyle w:val="CommentText"/>
              <w:outlineLvl w:val="0"/>
              <w:rPr>
                <w:b/>
                <w:bCs w:val="0"/>
                <w:color w:val="000000"/>
                <w:sz w:val="24"/>
                <w:szCs w:val="24"/>
              </w:rPr>
            </w:pPr>
            <w:r w:rsidRPr="00024050">
              <w:rPr>
                <w:b/>
                <w:bCs w:val="0"/>
                <w:color w:val="000000"/>
                <w:sz w:val="24"/>
                <w:szCs w:val="24"/>
              </w:rPr>
              <w:t>Retention Period in Case and Document Management Systems</w:t>
            </w:r>
          </w:p>
        </w:tc>
      </w:tr>
      <w:tr w:rsidR="004151E9" w:rsidRPr="00F52654" w14:paraId="4AE7B5F0" w14:textId="77777777" w:rsidTr="0096109A">
        <w:trPr>
          <w:gridAfter w:val="1"/>
          <w:wAfter w:w="23" w:type="dxa"/>
          <w:cantSplit/>
          <w:jc w:val="center"/>
        </w:trPr>
        <w:tc>
          <w:tcPr>
            <w:tcW w:w="1006" w:type="dxa"/>
          </w:tcPr>
          <w:p w14:paraId="1696C3CD" w14:textId="77777777" w:rsidR="004151E9" w:rsidRPr="00117FE8" w:rsidRDefault="00A73506" w:rsidP="004151E9">
            <w:pPr>
              <w:ind w:left="355" w:hanging="355"/>
              <w:outlineLvl w:val="0"/>
              <w:rPr>
                <w:strike/>
              </w:rPr>
            </w:pPr>
            <w:r w:rsidRPr="00117FE8">
              <w:rPr>
                <w:strike/>
              </w:rPr>
              <w:t>21</w:t>
            </w:r>
            <w:r w:rsidR="004151E9" w:rsidRPr="00117FE8">
              <w:rPr>
                <w:strike/>
              </w:rPr>
              <w:t>.</w:t>
            </w:r>
          </w:p>
        </w:tc>
        <w:tc>
          <w:tcPr>
            <w:tcW w:w="2977" w:type="dxa"/>
          </w:tcPr>
          <w:p w14:paraId="30E2602C" w14:textId="77777777" w:rsidR="004151E9" w:rsidRPr="00117FE8" w:rsidRDefault="004151E9" w:rsidP="004151E9">
            <w:pPr>
              <w:ind w:left="355" w:hanging="355"/>
              <w:outlineLvl w:val="0"/>
              <w:rPr>
                <w:strike/>
              </w:rPr>
            </w:pPr>
            <w:r w:rsidRPr="00117FE8">
              <w:rPr>
                <w:strike/>
              </w:rPr>
              <w:t>B.</w:t>
            </w:r>
            <w:r w:rsidRPr="00117FE8">
              <w:rPr>
                <w:strike/>
              </w:rPr>
              <w:tab/>
              <w:t>Exhibits submitted at trial or hearing in any case type</w:t>
            </w:r>
          </w:p>
        </w:tc>
        <w:tc>
          <w:tcPr>
            <w:tcW w:w="2610" w:type="dxa"/>
          </w:tcPr>
          <w:p w14:paraId="77904382" w14:textId="77777777" w:rsidR="004151E9" w:rsidRPr="00117FE8" w:rsidRDefault="004151E9" w:rsidP="004151E9">
            <w:pPr>
              <w:tabs>
                <w:tab w:val="left" w:pos="-720"/>
                <w:tab w:val="left" w:pos="-420"/>
              </w:tabs>
              <w:outlineLvl w:val="0"/>
              <w:rPr>
                <w:strike/>
              </w:rPr>
            </w:pPr>
            <w:r w:rsidRPr="00117FE8">
              <w:rPr>
                <w:strike/>
              </w:rPr>
              <w:t>Upon dismissal, disposition, or final appellate ruling, whichever comes later, and then 60 days after mailing notice to responsible persons to claim all evidence, all unless otherwise ordered by the court</w:t>
            </w:r>
          </w:p>
        </w:tc>
        <w:tc>
          <w:tcPr>
            <w:tcW w:w="1530" w:type="dxa"/>
          </w:tcPr>
          <w:p w14:paraId="747AD606" w14:textId="77777777" w:rsidR="004151E9" w:rsidRPr="00117FE8" w:rsidRDefault="004151E9" w:rsidP="004151E9">
            <w:pPr>
              <w:pStyle w:val="CommentText"/>
              <w:tabs>
                <w:tab w:val="left" w:pos="-720"/>
                <w:tab w:val="left" w:pos="-420"/>
              </w:tabs>
              <w:outlineLvl w:val="0"/>
              <w:rPr>
                <w:strike/>
                <w:sz w:val="24"/>
                <w:szCs w:val="24"/>
              </w:rPr>
            </w:pPr>
            <w:r w:rsidRPr="00117FE8">
              <w:rPr>
                <w:strike/>
                <w:sz w:val="24"/>
                <w:szCs w:val="24"/>
              </w:rPr>
              <w:t>N/A</w:t>
            </w:r>
          </w:p>
        </w:tc>
        <w:tc>
          <w:tcPr>
            <w:tcW w:w="1906" w:type="dxa"/>
          </w:tcPr>
          <w:p w14:paraId="27719180" w14:textId="77777777" w:rsidR="004151E9" w:rsidRPr="00117FE8" w:rsidRDefault="004151E9" w:rsidP="004151E9">
            <w:pPr>
              <w:pStyle w:val="CommentText"/>
              <w:tabs>
                <w:tab w:val="left" w:pos="-720"/>
                <w:tab w:val="left" w:pos="-420"/>
              </w:tabs>
              <w:outlineLvl w:val="0"/>
              <w:rPr>
                <w:strike/>
                <w:sz w:val="24"/>
                <w:szCs w:val="24"/>
              </w:rPr>
            </w:pPr>
            <w:r w:rsidRPr="00117FE8">
              <w:rPr>
                <w:strike/>
                <w:sz w:val="24"/>
                <w:szCs w:val="24"/>
              </w:rPr>
              <w:t>N/A</w:t>
            </w:r>
          </w:p>
        </w:tc>
      </w:tr>
      <w:tr w:rsidR="00117FE8" w:rsidRPr="00F52654" w14:paraId="77773FEB" w14:textId="77777777" w:rsidTr="0096109A">
        <w:trPr>
          <w:cantSplit/>
          <w:jc w:val="center"/>
        </w:trPr>
        <w:tc>
          <w:tcPr>
            <w:tcW w:w="1006" w:type="dxa"/>
          </w:tcPr>
          <w:p w14:paraId="363B9B3E" w14:textId="77777777" w:rsidR="00117FE8" w:rsidRPr="00117FE8" w:rsidRDefault="00117FE8" w:rsidP="004151E9">
            <w:pPr>
              <w:ind w:left="355" w:hanging="355"/>
              <w:outlineLvl w:val="0"/>
              <w:rPr>
                <w:u w:val="single"/>
              </w:rPr>
            </w:pPr>
          </w:p>
        </w:tc>
        <w:tc>
          <w:tcPr>
            <w:tcW w:w="9046" w:type="dxa"/>
            <w:gridSpan w:val="5"/>
          </w:tcPr>
          <w:p w14:paraId="27BF784F" w14:textId="77777777" w:rsidR="00117FE8" w:rsidRPr="00117FE8" w:rsidRDefault="00117FE8" w:rsidP="004151E9">
            <w:pPr>
              <w:pStyle w:val="CommentText"/>
              <w:tabs>
                <w:tab w:val="left" w:pos="-720"/>
                <w:tab w:val="left" w:pos="-420"/>
              </w:tabs>
              <w:outlineLvl w:val="0"/>
              <w:rPr>
                <w:sz w:val="24"/>
                <w:szCs w:val="24"/>
                <w:u w:val="single"/>
              </w:rPr>
            </w:pPr>
            <w:r w:rsidRPr="00117FE8">
              <w:rPr>
                <w:sz w:val="24"/>
                <w:szCs w:val="24"/>
                <w:u w:val="single"/>
              </w:rPr>
              <w:t>B. Exhibits submitted for use at trial or hearing and illustrative aids, in any case type</w:t>
            </w:r>
          </w:p>
        </w:tc>
      </w:tr>
      <w:tr w:rsidR="00117FE8" w:rsidRPr="00F52654" w14:paraId="01F6971D" w14:textId="77777777" w:rsidTr="0096109A">
        <w:trPr>
          <w:gridAfter w:val="1"/>
          <w:wAfter w:w="23" w:type="dxa"/>
          <w:cantSplit/>
          <w:jc w:val="center"/>
        </w:trPr>
        <w:tc>
          <w:tcPr>
            <w:tcW w:w="1006" w:type="dxa"/>
          </w:tcPr>
          <w:p w14:paraId="34DC16AE" w14:textId="77777777" w:rsidR="00117FE8" w:rsidRPr="00117FE8" w:rsidRDefault="000E37AD" w:rsidP="004151E9">
            <w:pPr>
              <w:ind w:left="355" w:hanging="355"/>
              <w:outlineLvl w:val="0"/>
              <w:rPr>
                <w:u w:val="single"/>
              </w:rPr>
            </w:pPr>
            <w:r>
              <w:rPr>
                <w:u w:val="single"/>
              </w:rPr>
              <w:t>21.</w:t>
            </w:r>
          </w:p>
        </w:tc>
        <w:tc>
          <w:tcPr>
            <w:tcW w:w="2977" w:type="dxa"/>
          </w:tcPr>
          <w:p w14:paraId="7A5ED1DF" w14:textId="77777777" w:rsidR="00117FE8" w:rsidRPr="00F52654" w:rsidRDefault="00117FE8" w:rsidP="00117FE8">
            <w:pPr>
              <w:ind w:left="-52"/>
              <w:outlineLvl w:val="0"/>
            </w:pPr>
            <w:r>
              <w:t xml:space="preserve">i. </w:t>
            </w:r>
            <w:r>
              <w:rPr>
                <w:u w:val="single"/>
              </w:rPr>
              <w:t>Exhibits not offered for admission in evidence</w:t>
            </w:r>
          </w:p>
        </w:tc>
        <w:tc>
          <w:tcPr>
            <w:tcW w:w="2610" w:type="dxa"/>
          </w:tcPr>
          <w:p w14:paraId="22A64EDA" w14:textId="77777777" w:rsidR="00117FE8" w:rsidRPr="0082774D" w:rsidRDefault="00117FE8" w:rsidP="004151E9">
            <w:pPr>
              <w:tabs>
                <w:tab w:val="left" w:pos="-720"/>
                <w:tab w:val="left" w:pos="-420"/>
              </w:tabs>
              <w:outlineLvl w:val="0"/>
              <w:rPr>
                <w:strike/>
              </w:rPr>
            </w:pPr>
            <w:r>
              <w:rPr>
                <w:u w:val="single"/>
              </w:rPr>
              <w:t>At the conclusion of the trial or hearing unless otherwise ordered by the court</w:t>
            </w:r>
          </w:p>
        </w:tc>
        <w:tc>
          <w:tcPr>
            <w:tcW w:w="1530" w:type="dxa"/>
          </w:tcPr>
          <w:p w14:paraId="612BB7F7" w14:textId="77777777" w:rsidR="00117FE8" w:rsidRPr="00117FE8" w:rsidRDefault="00117FE8" w:rsidP="004151E9">
            <w:pPr>
              <w:pStyle w:val="CommentText"/>
              <w:tabs>
                <w:tab w:val="left" w:pos="-720"/>
                <w:tab w:val="left" w:pos="-420"/>
              </w:tabs>
              <w:outlineLvl w:val="0"/>
              <w:rPr>
                <w:sz w:val="24"/>
                <w:szCs w:val="24"/>
                <w:u w:val="single"/>
              </w:rPr>
            </w:pPr>
            <w:r>
              <w:rPr>
                <w:sz w:val="24"/>
                <w:szCs w:val="24"/>
                <w:u w:val="single"/>
              </w:rPr>
              <w:t>N/A</w:t>
            </w:r>
          </w:p>
        </w:tc>
        <w:tc>
          <w:tcPr>
            <w:tcW w:w="1906" w:type="dxa"/>
          </w:tcPr>
          <w:p w14:paraId="653D7677" w14:textId="77777777" w:rsidR="00117FE8" w:rsidRPr="00117FE8" w:rsidRDefault="00117FE8" w:rsidP="004151E9">
            <w:pPr>
              <w:pStyle w:val="CommentText"/>
              <w:tabs>
                <w:tab w:val="left" w:pos="-720"/>
                <w:tab w:val="left" w:pos="-420"/>
              </w:tabs>
              <w:outlineLvl w:val="0"/>
              <w:rPr>
                <w:sz w:val="24"/>
                <w:szCs w:val="24"/>
                <w:u w:val="single"/>
              </w:rPr>
            </w:pPr>
            <w:r>
              <w:rPr>
                <w:sz w:val="24"/>
                <w:szCs w:val="24"/>
                <w:u w:val="single"/>
              </w:rPr>
              <w:t>N/A</w:t>
            </w:r>
          </w:p>
        </w:tc>
      </w:tr>
      <w:tr w:rsidR="000E37AD" w:rsidRPr="00F52654" w14:paraId="41ACF145" w14:textId="77777777" w:rsidTr="0096109A">
        <w:trPr>
          <w:gridAfter w:val="1"/>
          <w:wAfter w:w="23" w:type="dxa"/>
          <w:cantSplit/>
          <w:jc w:val="center"/>
        </w:trPr>
        <w:tc>
          <w:tcPr>
            <w:tcW w:w="1006" w:type="dxa"/>
          </w:tcPr>
          <w:p w14:paraId="6C0FEBE1" w14:textId="77777777" w:rsidR="000E37AD" w:rsidRDefault="000E37AD" w:rsidP="000E37AD">
            <w:pPr>
              <w:ind w:left="355" w:hanging="355"/>
              <w:outlineLvl w:val="0"/>
              <w:rPr>
                <w:u w:val="single"/>
              </w:rPr>
            </w:pPr>
            <w:r>
              <w:rPr>
                <w:u w:val="single"/>
              </w:rPr>
              <w:lastRenderedPageBreak/>
              <w:t>22.</w:t>
            </w:r>
          </w:p>
        </w:tc>
        <w:tc>
          <w:tcPr>
            <w:tcW w:w="2977" w:type="dxa"/>
          </w:tcPr>
          <w:p w14:paraId="39D9075C" w14:textId="77777777" w:rsidR="000E37AD" w:rsidRDefault="000E37AD" w:rsidP="000E37AD">
            <w:pPr>
              <w:rPr>
                <w:u w:val="single"/>
              </w:rPr>
            </w:pPr>
            <w:r>
              <w:rPr>
                <w:u w:val="single"/>
              </w:rPr>
              <w:t xml:space="preserve">ii. </w:t>
            </w:r>
          </w:p>
          <w:p w14:paraId="55FC1F20" w14:textId="77777777" w:rsidR="000E37AD" w:rsidRDefault="000E37AD" w:rsidP="000E37AD">
            <w:pPr>
              <w:rPr>
                <w:u w:val="single"/>
              </w:rPr>
            </w:pPr>
            <w:r w:rsidRPr="00117FE8">
              <w:rPr>
                <w:u w:val="single"/>
              </w:rPr>
              <w:t>a.</w:t>
            </w:r>
            <w:r>
              <w:rPr>
                <w:u w:val="single"/>
              </w:rPr>
              <w:t xml:space="preserve"> </w:t>
            </w:r>
            <w:r w:rsidRPr="007028B5">
              <w:rPr>
                <w:u w:val="single"/>
              </w:rPr>
              <w:t>Exhibits</w:t>
            </w:r>
            <w:r>
              <w:rPr>
                <w:u w:val="single"/>
              </w:rPr>
              <w:t xml:space="preserve"> </w:t>
            </w:r>
            <w:r w:rsidRPr="007028B5">
              <w:rPr>
                <w:u w:val="single"/>
              </w:rPr>
              <w:t xml:space="preserve">offered for admission in evidence but not received in </w:t>
            </w:r>
            <w:proofErr w:type="gramStart"/>
            <w:r w:rsidRPr="007028B5">
              <w:rPr>
                <w:u w:val="single"/>
              </w:rPr>
              <w:t>evidence</w:t>
            </w:r>
            <w:r>
              <w:rPr>
                <w:u w:val="single"/>
              </w:rPr>
              <w:t>;</w:t>
            </w:r>
            <w:proofErr w:type="gramEnd"/>
            <w:r>
              <w:rPr>
                <w:u w:val="single"/>
              </w:rPr>
              <w:t xml:space="preserve"> </w:t>
            </w:r>
          </w:p>
          <w:p w14:paraId="4442EC23" w14:textId="77777777" w:rsidR="000E37AD" w:rsidRDefault="000E37AD" w:rsidP="000E37AD">
            <w:pPr>
              <w:rPr>
                <w:u w:val="single"/>
              </w:rPr>
            </w:pPr>
            <w:r>
              <w:rPr>
                <w:u w:val="single"/>
              </w:rPr>
              <w:t>b. E</w:t>
            </w:r>
            <w:r w:rsidRPr="007028B5">
              <w:rPr>
                <w:u w:val="single"/>
              </w:rPr>
              <w:t>xhibits</w:t>
            </w:r>
            <w:r>
              <w:rPr>
                <w:u w:val="single"/>
              </w:rPr>
              <w:t xml:space="preserve"> </w:t>
            </w:r>
            <w:r w:rsidRPr="007028B5">
              <w:rPr>
                <w:u w:val="single"/>
              </w:rPr>
              <w:t>admitted in evidence</w:t>
            </w:r>
            <w:r>
              <w:rPr>
                <w:u w:val="single"/>
              </w:rPr>
              <w:t>;</w:t>
            </w:r>
            <w:r w:rsidRPr="007028B5">
              <w:rPr>
                <w:u w:val="single"/>
              </w:rPr>
              <w:t xml:space="preserve"> and </w:t>
            </w:r>
          </w:p>
          <w:p w14:paraId="5669C890" w14:textId="77777777" w:rsidR="000E37AD" w:rsidRDefault="000E37AD" w:rsidP="000E37AD">
            <w:pPr>
              <w:ind w:left="-52"/>
              <w:outlineLvl w:val="0"/>
            </w:pPr>
            <w:r>
              <w:rPr>
                <w:u w:val="single"/>
              </w:rPr>
              <w:t xml:space="preserve"> c. </w:t>
            </w:r>
            <w:r w:rsidR="003514AD">
              <w:rPr>
                <w:u w:val="single"/>
              </w:rPr>
              <w:t>A</w:t>
            </w:r>
            <w:r w:rsidRPr="007028B5">
              <w:rPr>
                <w:u w:val="single"/>
              </w:rPr>
              <w:t>ny illustrative aid</w:t>
            </w:r>
            <w:r>
              <w:rPr>
                <w:u w:val="single"/>
              </w:rPr>
              <w:t xml:space="preserve"> used under </w:t>
            </w:r>
            <w:r w:rsidRPr="007028B5">
              <w:rPr>
                <w:u w:val="single"/>
              </w:rPr>
              <w:t>Ariz. R. Evid. 107</w:t>
            </w:r>
            <w:r>
              <w:rPr>
                <w:u w:val="single"/>
              </w:rPr>
              <w:t>.</w:t>
            </w:r>
            <w:r w:rsidRPr="007028B5">
              <w:rPr>
                <w:u w:val="single"/>
              </w:rPr>
              <w:t xml:space="preserve"> </w:t>
            </w:r>
            <w:r>
              <w:rPr>
                <w:u w:val="single"/>
              </w:rPr>
              <w:t xml:space="preserve"> </w:t>
            </w:r>
          </w:p>
        </w:tc>
        <w:tc>
          <w:tcPr>
            <w:tcW w:w="2610" w:type="dxa"/>
          </w:tcPr>
          <w:p w14:paraId="334031F3" w14:textId="77777777" w:rsidR="00F136AC" w:rsidRPr="00F136AC" w:rsidRDefault="00F136AC" w:rsidP="00F136AC">
            <w:pPr>
              <w:rPr>
                <w:u w:val="single"/>
              </w:rPr>
            </w:pPr>
            <w:r w:rsidRPr="00F136AC">
              <w:rPr>
                <w:u w:val="single"/>
              </w:rPr>
              <w:t>Unless otherwise ordered by the court, when the case is “no longer subject to modification” as defined by the governing rule set. At that time:</w:t>
            </w:r>
          </w:p>
          <w:p w14:paraId="40C917DC" w14:textId="77777777" w:rsidR="00F136AC" w:rsidRPr="00F136AC" w:rsidRDefault="00F136AC" w:rsidP="00F136AC">
            <w:pPr>
              <w:rPr>
                <w:u w:val="single"/>
              </w:rPr>
            </w:pPr>
            <w:r w:rsidRPr="00F136AC">
              <w:rPr>
                <w:u w:val="single"/>
              </w:rPr>
              <w:t xml:space="preserve">(1) any exhibit submitted through a digital evidence portal (a “digital exhibit”) must be deleted without further notice to the parties. </w:t>
            </w:r>
          </w:p>
          <w:p w14:paraId="7DA531ED" w14:textId="77777777" w:rsidR="000E37AD" w:rsidRDefault="00F136AC" w:rsidP="00F136AC">
            <w:pPr>
              <w:tabs>
                <w:tab w:val="left" w:pos="-720"/>
                <w:tab w:val="left" w:pos="-420"/>
              </w:tabs>
              <w:outlineLvl w:val="0"/>
              <w:rPr>
                <w:u w:val="single"/>
              </w:rPr>
            </w:pPr>
            <w:r w:rsidRPr="00F136AC">
              <w:rPr>
                <w:u w:val="single"/>
              </w:rPr>
              <w:t>(2) For any exhibit or evidence not submitted through a digital evidence portal (a “physical exhibit”) and illustrative aids, at least 30 days’ notice must be provided to the party who submitted the physical exhibit or illustrative aid for that party to claim and, if claimed, returned to the party who submitted it. If the party who submitted the physical exhibit or illustrative aid does not claim it after 30 days from such notice, the physical exhibit or illustrative aid may be disposed of.</w:t>
            </w:r>
          </w:p>
        </w:tc>
        <w:tc>
          <w:tcPr>
            <w:tcW w:w="1530" w:type="dxa"/>
          </w:tcPr>
          <w:p w14:paraId="45795D97" w14:textId="77777777" w:rsidR="000E37AD" w:rsidRDefault="000E37AD" w:rsidP="000E37AD">
            <w:pPr>
              <w:pStyle w:val="CommentText"/>
              <w:tabs>
                <w:tab w:val="left" w:pos="-720"/>
                <w:tab w:val="left" w:pos="-420"/>
              </w:tabs>
              <w:outlineLvl w:val="0"/>
              <w:rPr>
                <w:sz w:val="24"/>
                <w:szCs w:val="24"/>
                <w:u w:val="single"/>
              </w:rPr>
            </w:pPr>
            <w:r>
              <w:rPr>
                <w:sz w:val="24"/>
                <w:szCs w:val="24"/>
                <w:u w:val="single"/>
              </w:rPr>
              <w:t>N/A</w:t>
            </w:r>
          </w:p>
        </w:tc>
        <w:tc>
          <w:tcPr>
            <w:tcW w:w="1906" w:type="dxa"/>
          </w:tcPr>
          <w:p w14:paraId="5C083382" w14:textId="77777777" w:rsidR="000E37AD" w:rsidRDefault="000E37AD" w:rsidP="000E37AD">
            <w:pPr>
              <w:pStyle w:val="CommentText"/>
              <w:tabs>
                <w:tab w:val="left" w:pos="-720"/>
                <w:tab w:val="left" w:pos="-420"/>
              </w:tabs>
              <w:outlineLvl w:val="0"/>
              <w:rPr>
                <w:sz w:val="24"/>
                <w:szCs w:val="24"/>
                <w:u w:val="single"/>
              </w:rPr>
            </w:pPr>
            <w:r>
              <w:rPr>
                <w:sz w:val="24"/>
                <w:szCs w:val="24"/>
                <w:u w:val="single"/>
              </w:rPr>
              <w:t>N/A</w:t>
            </w:r>
          </w:p>
        </w:tc>
      </w:tr>
      <w:tr w:rsidR="001E0910" w:rsidRPr="001E0910" w14:paraId="728BF247" w14:textId="77777777" w:rsidTr="0096109A">
        <w:trPr>
          <w:cantSplit/>
          <w:jc w:val="center"/>
        </w:trPr>
        <w:tc>
          <w:tcPr>
            <w:tcW w:w="10052" w:type="dxa"/>
            <w:gridSpan w:val="6"/>
          </w:tcPr>
          <w:p w14:paraId="22B0C540" w14:textId="77777777" w:rsidR="001E0910" w:rsidRPr="001E0910" w:rsidRDefault="001E0910" w:rsidP="000E37AD">
            <w:pPr>
              <w:pStyle w:val="CommentText"/>
              <w:tabs>
                <w:tab w:val="left" w:pos="-720"/>
                <w:tab w:val="left" w:pos="-420"/>
              </w:tabs>
              <w:outlineLvl w:val="0"/>
              <w:rPr>
                <w:sz w:val="24"/>
                <w:szCs w:val="24"/>
              </w:rPr>
            </w:pPr>
            <w:r w:rsidRPr="001E0910">
              <w:rPr>
                <w:sz w:val="24"/>
                <w:szCs w:val="24"/>
              </w:rPr>
              <w:t>22</w:t>
            </w:r>
            <w:r>
              <w:rPr>
                <w:sz w:val="24"/>
                <w:szCs w:val="24"/>
              </w:rPr>
              <w:t>.</w:t>
            </w:r>
            <w:r w:rsidRPr="001E0910">
              <w:rPr>
                <w:sz w:val="24"/>
                <w:szCs w:val="24"/>
              </w:rPr>
              <w:t xml:space="preserve"> through 3</w:t>
            </w:r>
            <w:r w:rsidR="00A111B4">
              <w:rPr>
                <w:sz w:val="24"/>
                <w:szCs w:val="24"/>
              </w:rPr>
              <w:t>3</w:t>
            </w:r>
            <w:r w:rsidRPr="001E0910">
              <w:rPr>
                <w:sz w:val="24"/>
                <w:szCs w:val="24"/>
              </w:rPr>
              <w:t>. [renumber]</w:t>
            </w:r>
          </w:p>
        </w:tc>
      </w:tr>
      <w:tr w:rsidR="00EB22B8" w:rsidRPr="00F52654" w14:paraId="1EF7B37A" w14:textId="77777777" w:rsidTr="0096109A">
        <w:trPr>
          <w:gridAfter w:val="1"/>
          <w:wAfter w:w="23" w:type="dxa"/>
          <w:cantSplit/>
          <w:jc w:val="center"/>
        </w:trPr>
        <w:tc>
          <w:tcPr>
            <w:tcW w:w="1006" w:type="dxa"/>
          </w:tcPr>
          <w:p w14:paraId="7DDA7950" w14:textId="77777777" w:rsidR="00EB22B8" w:rsidRPr="001E0910" w:rsidRDefault="00EB22B8" w:rsidP="00EB22B8">
            <w:pPr>
              <w:ind w:left="355" w:hanging="355"/>
              <w:outlineLvl w:val="0"/>
              <w:rPr>
                <w:strike/>
              </w:rPr>
            </w:pPr>
            <w:r w:rsidRPr="005008AC">
              <w:rPr>
                <w:strike/>
              </w:rPr>
              <w:lastRenderedPageBreak/>
              <w:t>34.</w:t>
            </w:r>
          </w:p>
        </w:tc>
        <w:tc>
          <w:tcPr>
            <w:tcW w:w="2977" w:type="dxa"/>
          </w:tcPr>
          <w:p w14:paraId="416CE514" w14:textId="77777777" w:rsidR="00EB22B8" w:rsidRPr="001E0910" w:rsidRDefault="00EB22B8" w:rsidP="00EB22B8">
            <w:r w:rsidRPr="00F52654">
              <w:t>H.</w:t>
            </w:r>
            <w:r>
              <w:t xml:space="preserve"> </w:t>
            </w:r>
            <w:r w:rsidRPr="00F52654">
              <w:t>Warrants that are not part of a case file</w:t>
            </w:r>
          </w:p>
        </w:tc>
        <w:tc>
          <w:tcPr>
            <w:tcW w:w="2610" w:type="dxa"/>
          </w:tcPr>
          <w:p w14:paraId="099D0337" w14:textId="77777777" w:rsidR="00EB22B8" w:rsidRPr="001E0910" w:rsidRDefault="00EB22B8" w:rsidP="00EB22B8">
            <w:r w:rsidRPr="005008AC">
              <w:rPr>
                <w:strike/>
              </w:rPr>
              <w:t>1 year from date of return; If not returned, destroy upon expiration</w:t>
            </w:r>
          </w:p>
        </w:tc>
        <w:tc>
          <w:tcPr>
            <w:tcW w:w="1530" w:type="dxa"/>
          </w:tcPr>
          <w:p w14:paraId="67910B60" w14:textId="77777777" w:rsidR="00EB22B8" w:rsidRPr="001E0910" w:rsidRDefault="00EB22B8" w:rsidP="00EB22B8">
            <w:pPr>
              <w:pStyle w:val="CommentText"/>
              <w:tabs>
                <w:tab w:val="left" w:pos="-720"/>
                <w:tab w:val="left" w:pos="-420"/>
              </w:tabs>
              <w:outlineLvl w:val="0"/>
              <w:rPr>
                <w:sz w:val="24"/>
                <w:szCs w:val="24"/>
              </w:rPr>
            </w:pPr>
            <w:r w:rsidRPr="005008AC">
              <w:rPr>
                <w:strike/>
                <w:sz w:val="24"/>
                <w:szCs w:val="24"/>
              </w:rPr>
              <w:t>N/A</w:t>
            </w:r>
          </w:p>
        </w:tc>
        <w:tc>
          <w:tcPr>
            <w:tcW w:w="1906" w:type="dxa"/>
          </w:tcPr>
          <w:p w14:paraId="426E5D22" w14:textId="77777777" w:rsidR="00EB22B8" w:rsidRPr="001E0910" w:rsidRDefault="00EB22B8" w:rsidP="00EB22B8">
            <w:pPr>
              <w:pStyle w:val="CommentText"/>
              <w:tabs>
                <w:tab w:val="left" w:pos="-720"/>
                <w:tab w:val="left" w:pos="-420"/>
              </w:tabs>
              <w:outlineLvl w:val="0"/>
              <w:rPr>
                <w:sz w:val="24"/>
                <w:szCs w:val="24"/>
              </w:rPr>
            </w:pPr>
            <w:r w:rsidRPr="005008AC">
              <w:rPr>
                <w:strike/>
                <w:sz w:val="24"/>
                <w:szCs w:val="24"/>
              </w:rPr>
              <w:t>N/A</w:t>
            </w:r>
          </w:p>
        </w:tc>
      </w:tr>
      <w:tr w:rsidR="00EB22B8" w:rsidRPr="00F52654" w14:paraId="252A8640" w14:textId="77777777" w:rsidTr="0096109A">
        <w:trPr>
          <w:gridAfter w:val="1"/>
          <w:wAfter w:w="23" w:type="dxa"/>
          <w:cantSplit/>
          <w:jc w:val="center"/>
        </w:trPr>
        <w:tc>
          <w:tcPr>
            <w:tcW w:w="1006" w:type="dxa"/>
          </w:tcPr>
          <w:p w14:paraId="1FAD05CC" w14:textId="77777777" w:rsidR="00EB22B8" w:rsidRPr="005008AC" w:rsidRDefault="00EB22B8" w:rsidP="00EB22B8">
            <w:pPr>
              <w:ind w:left="355" w:hanging="355"/>
              <w:outlineLvl w:val="0"/>
              <w:rPr>
                <w:strike/>
              </w:rPr>
            </w:pPr>
            <w:r>
              <w:rPr>
                <w:u w:val="single"/>
              </w:rPr>
              <w:t>3</w:t>
            </w:r>
            <w:r w:rsidR="00F136AC">
              <w:rPr>
                <w:u w:val="single"/>
              </w:rPr>
              <w:t>5</w:t>
            </w:r>
            <w:r>
              <w:rPr>
                <w:u w:val="single"/>
              </w:rPr>
              <w:t>.</w:t>
            </w:r>
          </w:p>
        </w:tc>
        <w:tc>
          <w:tcPr>
            <w:tcW w:w="2977" w:type="dxa"/>
          </w:tcPr>
          <w:p w14:paraId="4BC4189C" w14:textId="77777777" w:rsidR="00EB22B8" w:rsidRDefault="00EB22B8" w:rsidP="00EB22B8">
            <w:pPr>
              <w:numPr>
                <w:ilvl w:val="0"/>
                <w:numId w:val="24"/>
              </w:numPr>
              <w:outlineLvl w:val="0"/>
              <w:rPr>
                <w:u w:val="single"/>
              </w:rPr>
            </w:pPr>
            <w:r>
              <w:rPr>
                <w:u w:val="single"/>
              </w:rPr>
              <w:t>Warrants other than pre-charge warrants issued under A.R.S. § 13-3897(A).</w:t>
            </w:r>
          </w:p>
          <w:p w14:paraId="3CF0E6AC" w14:textId="77777777" w:rsidR="00EB22B8" w:rsidRDefault="00EB22B8" w:rsidP="00EB22B8">
            <w:pPr>
              <w:ind w:left="355" w:hanging="355"/>
              <w:outlineLvl w:val="0"/>
              <w:rPr>
                <w:u w:val="single"/>
              </w:rPr>
            </w:pPr>
          </w:p>
          <w:p w14:paraId="00CE31B3" w14:textId="77777777" w:rsidR="00EB22B8" w:rsidRPr="00F52654" w:rsidRDefault="00EB22B8" w:rsidP="00EB22B8"/>
        </w:tc>
        <w:tc>
          <w:tcPr>
            <w:tcW w:w="2610" w:type="dxa"/>
          </w:tcPr>
          <w:p w14:paraId="01555202" w14:textId="77777777" w:rsidR="00EB22B8" w:rsidRPr="005008AC" w:rsidRDefault="00EB22B8" w:rsidP="00EB22B8">
            <w:pPr>
              <w:rPr>
                <w:strike/>
              </w:rPr>
            </w:pPr>
            <w:r w:rsidRPr="005008AC">
              <w:rPr>
                <w:u w:val="single"/>
              </w:rPr>
              <w:t>1 year from date of return; If not returned, destroy upon expiration</w:t>
            </w:r>
          </w:p>
        </w:tc>
        <w:tc>
          <w:tcPr>
            <w:tcW w:w="1530" w:type="dxa"/>
          </w:tcPr>
          <w:p w14:paraId="4137D020" w14:textId="77777777" w:rsidR="00EB22B8" w:rsidRPr="005008AC" w:rsidRDefault="00EB22B8" w:rsidP="00EB22B8">
            <w:pPr>
              <w:pStyle w:val="CommentText"/>
              <w:tabs>
                <w:tab w:val="left" w:pos="-720"/>
                <w:tab w:val="left" w:pos="-420"/>
              </w:tabs>
              <w:outlineLvl w:val="0"/>
              <w:rPr>
                <w:strike/>
                <w:sz w:val="24"/>
                <w:szCs w:val="24"/>
              </w:rPr>
            </w:pPr>
            <w:r w:rsidRPr="005008AC">
              <w:rPr>
                <w:sz w:val="24"/>
                <w:szCs w:val="24"/>
                <w:u w:val="single"/>
              </w:rPr>
              <w:t>N/A</w:t>
            </w:r>
          </w:p>
        </w:tc>
        <w:tc>
          <w:tcPr>
            <w:tcW w:w="1906" w:type="dxa"/>
          </w:tcPr>
          <w:p w14:paraId="15381FD9" w14:textId="77777777" w:rsidR="00EB22B8" w:rsidRPr="005008AC" w:rsidRDefault="00EB22B8" w:rsidP="00EB22B8">
            <w:pPr>
              <w:pStyle w:val="CommentText"/>
              <w:tabs>
                <w:tab w:val="left" w:pos="-720"/>
                <w:tab w:val="left" w:pos="-420"/>
              </w:tabs>
              <w:outlineLvl w:val="0"/>
              <w:rPr>
                <w:strike/>
                <w:sz w:val="24"/>
                <w:szCs w:val="24"/>
              </w:rPr>
            </w:pPr>
            <w:r w:rsidRPr="005008AC">
              <w:rPr>
                <w:sz w:val="24"/>
                <w:szCs w:val="24"/>
                <w:u w:val="single"/>
              </w:rPr>
              <w:t>N/A</w:t>
            </w:r>
          </w:p>
        </w:tc>
      </w:tr>
      <w:tr w:rsidR="00EB22B8" w:rsidRPr="00F52654" w14:paraId="0A5BE975" w14:textId="77777777" w:rsidTr="0096109A">
        <w:trPr>
          <w:gridAfter w:val="1"/>
          <w:wAfter w:w="23" w:type="dxa"/>
          <w:cantSplit/>
          <w:jc w:val="center"/>
        </w:trPr>
        <w:tc>
          <w:tcPr>
            <w:tcW w:w="1006" w:type="dxa"/>
          </w:tcPr>
          <w:p w14:paraId="6B6D047D" w14:textId="414014EC" w:rsidR="00EB22B8" w:rsidRPr="005F2792" w:rsidRDefault="005F2792" w:rsidP="00EB22B8">
            <w:pPr>
              <w:ind w:left="355" w:hanging="355"/>
              <w:outlineLvl w:val="0"/>
              <w:rPr>
                <w:u w:val="single"/>
              </w:rPr>
            </w:pPr>
            <w:r w:rsidRPr="005F2792">
              <w:rPr>
                <w:u w:val="single"/>
              </w:rPr>
              <w:t>36.</w:t>
            </w:r>
          </w:p>
        </w:tc>
        <w:tc>
          <w:tcPr>
            <w:tcW w:w="2977" w:type="dxa"/>
          </w:tcPr>
          <w:p w14:paraId="505214F0" w14:textId="77777777" w:rsidR="00EB22B8" w:rsidRPr="00F52654" w:rsidRDefault="00EB22B8" w:rsidP="00EB22B8">
            <w:pPr>
              <w:numPr>
                <w:ilvl w:val="0"/>
                <w:numId w:val="24"/>
              </w:numPr>
            </w:pPr>
            <w:r>
              <w:rPr>
                <w:u w:val="single"/>
              </w:rPr>
              <w:t>Pre-charge warrants issued under A.R.S. § 13-3897(A).</w:t>
            </w:r>
          </w:p>
        </w:tc>
        <w:tc>
          <w:tcPr>
            <w:tcW w:w="2610" w:type="dxa"/>
          </w:tcPr>
          <w:p w14:paraId="77FA19D2" w14:textId="77777777" w:rsidR="00EB22B8" w:rsidRPr="005008AC" w:rsidRDefault="00EB22B8" w:rsidP="00EB22B8">
            <w:pPr>
              <w:rPr>
                <w:strike/>
              </w:rPr>
            </w:pPr>
            <w:r>
              <w:rPr>
                <w:u w:val="single"/>
              </w:rPr>
              <w:t>1 year from issuance</w:t>
            </w:r>
          </w:p>
        </w:tc>
        <w:tc>
          <w:tcPr>
            <w:tcW w:w="1530" w:type="dxa"/>
          </w:tcPr>
          <w:p w14:paraId="50BD76F0" w14:textId="77777777" w:rsidR="00EB22B8" w:rsidRPr="005008AC" w:rsidRDefault="00EB22B8" w:rsidP="00EB22B8">
            <w:pPr>
              <w:pStyle w:val="CommentText"/>
              <w:tabs>
                <w:tab w:val="left" w:pos="-720"/>
                <w:tab w:val="left" w:pos="-420"/>
              </w:tabs>
              <w:outlineLvl w:val="0"/>
              <w:rPr>
                <w:strike/>
                <w:sz w:val="24"/>
                <w:szCs w:val="24"/>
              </w:rPr>
            </w:pPr>
            <w:r w:rsidRPr="005008AC">
              <w:rPr>
                <w:sz w:val="24"/>
                <w:szCs w:val="24"/>
                <w:u w:val="single"/>
              </w:rPr>
              <w:t>N/A</w:t>
            </w:r>
          </w:p>
        </w:tc>
        <w:tc>
          <w:tcPr>
            <w:tcW w:w="1906" w:type="dxa"/>
          </w:tcPr>
          <w:p w14:paraId="0F88B387" w14:textId="77777777" w:rsidR="00EB22B8" w:rsidRPr="005008AC" w:rsidRDefault="00EB22B8" w:rsidP="00EB22B8">
            <w:pPr>
              <w:pStyle w:val="CommentText"/>
              <w:tabs>
                <w:tab w:val="left" w:pos="-720"/>
                <w:tab w:val="left" w:pos="-420"/>
              </w:tabs>
              <w:outlineLvl w:val="0"/>
              <w:rPr>
                <w:strike/>
                <w:sz w:val="24"/>
                <w:szCs w:val="24"/>
              </w:rPr>
            </w:pPr>
            <w:r w:rsidRPr="005008AC">
              <w:rPr>
                <w:sz w:val="24"/>
                <w:szCs w:val="24"/>
                <w:u w:val="single"/>
              </w:rPr>
              <w:t>N/A</w:t>
            </w:r>
          </w:p>
        </w:tc>
      </w:tr>
      <w:tr w:rsidR="000A6651" w:rsidRPr="00F52654" w14:paraId="46C735CD" w14:textId="77777777" w:rsidTr="0096109A">
        <w:trPr>
          <w:gridAfter w:val="1"/>
          <w:wAfter w:w="23" w:type="dxa"/>
          <w:cantSplit/>
          <w:jc w:val="center"/>
        </w:trPr>
        <w:tc>
          <w:tcPr>
            <w:tcW w:w="1006" w:type="dxa"/>
          </w:tcPr>
          <w:p w14:paraId="0317F5D0" w14:textId="19ED27B0" w:rsidR="000A6651" w:rsidRPr="000A6651" w:rsidRDefault="000A6651" w:rsidP="00EB22B8">
            <w:pPr>
              <w:ind w:left="355" w:hanging="355"/>
              <w:outlineLvl w:val="0"/>
            </w:pPr>
            <w:r>
              <w:rPr>
                <w:strike/>
              </w:rPr>
              <w:t xml:space="preserve">35 </w:t>
            </w:r>
            <w:r>
              <w:rPr>
                <w:u w:val="single"/>
              </w:rPr>
              <w:t>3</w:t>
            </w:r>
            <w:r w:rsidR="005F2792">
              <w:rPr>
                <w:u w:val="single"/>
              </w:rPr>
              <w:t>7</w:t>
            </w:r>
            <w:r>
              <w:t>.</w:t>
            </w:r>
          </w:p>
        </w:tc>
        <w:tc>
          <w:tcPr>
            <w:tcW w:w="2977" w:type="dxa"/>
          </w:tcPr>
          <w:p w14:paraId="493DEAE7" w14:textId="77777777" w:rsidR="000A6651" w:rsidRPr="000A6651" w:rsidRDefault="000A6651" w:rsidP="000A6651">
            <w:r w:rsidRPr="000A6651">
              <w:t xml:space="preserve">I. </w:t>
            </w:r>
            <w:r>
              <w:t>Administrative orders and directives</w:t>
            </w:r>
          </w:p>
        </w:tc>
        <w:tc>
          <w:tcPr>
            <w:tcW w:w="2610" w:type="dxa"/>
          </w:tcPr>
          <w:p w14:paraId="67697E8D" w14:textId="77777777" w:rsidR="000A6651" w:rsidRPr="000A6651" w:rsidRDefault="000A6651" w:rsidP="00EB22B8">
            <w:r>
              <w:t>Permanent</w:t>
            </w:r>
          </w:p>
        </w:tc>
        <w:tc>
          <w:tcPr>
            <w:tcW w:w="1530" w:type="dxa"/>
          </w:tcPr>
          <w:p w14:paraId="5528E7E0" w14:textId="77777777" w:rsidR="000A6651" w:rsidRPr="000A6651" w:rsidRDefault="000A6651" w:rsidP="00EB22B8">
            <w:pPr>
              <w:pStyle w:val="CommentText"/>
              <w:tabs>
                <w:tab w:val="left" w:pos="-720"/>
                <w:tab w:val="left" w:pos="-420"/>
              </w:tabs>
              <w:outlineLvl w:val="0"/>
              <w:rPr>
                <w:sz w:val="24"/>
                <w:szCs w:val="24"/>
              </w:rPr>
            </w:pPr>
            <w:r>
              <w:rPr>
                <w:sz w:val="24"/>
                <w:szCs w:val="24"/>
              </w:rPr>
              <w:t>N/A</w:t>
            </w:r>
          </w:p>
        </w:tc>
        <w:tc>
          <w:tcPr>
            <w:tcW w:w="1906" w:type="dxa"/>
          </w:tcPr>
          <w:p w14:paraId="1D54517F" w14:textId="77777777" w:rsidR="000A6651" w:rsidRPr="000A6651" w:rsidRDefault="000A6651" w:rsidP="00EB22B8">
            <w:pPr>
              <w:pStyle w:val="CommentText"/>
              <w:tabs>
                <w:tab w:val="left" w:pos="-720"/>
                <w:tab w:val="left" w:pos="-420"/>
              </w:tabs>
              <w:outlineLvl w:val="0"/>
              <w:rPr>
                <w:sz w:val="24"/>
                <w:szCs w:val="24"/>
              </w:rPr>
            </w:pPr>
            <w:r w:rsidRPr="000A6651">
              <w:rPr>
                <w:sz w:val="24"/>
                <w:szCs w:val="24"/>
              </w:rPr>
              <w:t>N/A</w:t>
            </w:r>
          </w:p>
        </w:tc>
      </w:tr>
      <w:tr w:rsidR="000A6651" w:rsidRPr="00F52654" w14:paraId="3A1AAAC3" w14:textId="77777777" w:rsidTr="0096109A">
        <w:trPr>
          <w:gridAfter w:val="1"/>
          <w:wAfter w:w="23" w:type="dxa"/>
          <w:cantSplit/>
          <w:jc w:val="center"/>
        </w:trPr>
        <w:tc>
          <w:tcPr>
            <w:tcW w:w="1006" w:type="dxa"/>
          </w:tcPr>
          <w:p w14:paraId="6367C9F2" w14:textId="77777777" w:rsidR="000A6651" w:rsidRPr="005008AC" w:rsidRDefault="000A6651" w:rsidP="00EB22B8">
            <w:pPr>
              <w:ind w:left="355" w:hanging="355"/>
              <w:outlineLvl w:val="0"/>
              <w:rPr>
                <w:strike/>
              </w:rPr>
            </w:pPr>
          </w:p>
        </w:tc>
        <w:tc>
          <w:tcPr>
            <w:tcW w:w="2977" w:type="dxa"/>
          </w:tcPr>
          <w:p w14:paraId="1FBB25E7" w14:textId="77777777" w:rsidR="000A6651" w:rsidRPr="000A6651" w:rsidRDefault="000A6651" w:rsidP="000A6651">
            <w:r>
              <w:t>J. Court security related records</w:t>
            </w:r>
          </w:p>
        </w:tc>
        <w:tc>
          <w:tcPr>
            <w:tcW w:w="2610" w:type="dxa"/>
          </w:tcPr>
          <w:p w14:paraId="69A9D25A" w14:textId="77777777" w:rsidR="000A6651" w:rsidRDefault="000A6651" w:rsidP="00EB22B8">
            <w:pPr>
              <w:rPr>
                <w:u w:val="single"/>
              </w:rPr>
            </w:pPr>
          </w:p>
        </w:tc>
        <w:tc>
          <w:tcPr>
            <w:tcW w:w="1530" w:type="dxa"/>
          </w:tcPr>
          <w:p w14:paraId="32F7B2D1" w14:textId="77777777" w:rsidR="000A6651" w:rsidRPr="005008AC" w:rsidRDefault="000A6651" w:rsidP="00EB22B8">
            <w:pPr>
              <w:pStyle w:val="CommentText"/>
              <w:tabs>
                <w:tab w:val="left" w:pos="-720"/>
                <w:tab w:val="left" w:pos="-420"/>
              </w:tabs>
              <w:outlineLvl w:val="0"/>
              <w:rPr>
                <w:sz w:val="24"/>
                <w:szCs w:val="24"/>
                <w:u w:val="single"/>
              </w:rPr>
            </w:pPr>
          </w:p>
        </w:tc>
        <w:tc>
          <w:tcPr>
            <w:tcW w:w="1906" w:type="dxa"/>
          </w:tcPr>
          <w:p w14:paraId="6393D9E2" w14:textId="77777777" w:rsidR="000A6651" w:rsidRPr="005008AC" w:rsidRDefault="000A6651" w:rsidP="00EB22B8">
            <w:pPr>
              <w:pStyle w:val="CommentText"/>
              <w:tabs>
                <w:tab w:val="left" w:pos="-720"/>
                <w:tab w:val="left" w:pos="-420"/>
              </w:tabs>
              <w:outlineLvl w:val="0"/>
              <w:rPr>
                <w:sz w:val="24"/>
                <w:szCs w:val="24"/>
                <w:u w:val="single"/>
              </w:rPr>
            </w:pPr>
          </w:p>
        </w:tc>
      </w:tr>
      <w:tr w:rsidR="00EB22B8" w:rsidRPr="00F52654" w14:paraId="0A665942" w14:textId="77777777" w:rsidTr="0096109A">
        <w:trPr>
          <w:gridAfter w:val="1"/>
          <w:wAfter w:w="23" w:type="dxa"/>
          <w:cantSplit/>
          <w:jc w:val="center"/>
        </w:trPr>
        <w:tc>
          <w:tcPr>
            <w:tcW w:w="1006" w:type="dxa"/>
          </w:tcPr>
          <w:p w14:paraId="2C15D7C1" w14:textId="52F36E14" w:rsidR="00EB22B8" w:rsidRPr="001E0910" w:rsidRDefault="00EB22B8" w:rsidP="00EB22B8">
            <w:pPr>
              <w:ind w:left="355" w:hanging="355"/>
              <w:outlineLvl w:val="0"/>
            </w:pPr>
            <w:r w:rsidRPr="001E0910">
              <w:rPr>
                <w:strike/>
              </w:rPr>
              <w:t>3</w:t>
            </w:r>
            <w:r>
              <w:rPr>
                <w:strike/>
              </w:rPr>
              <w:t xml:space="preserve">6 </w:t>
            </w:r>
            <w:r w:rsidRPr="001E0910">
              <w:rPr>
                <w:u w:val="single"/>
              </w:rPr>
              <w:t>3</w:t>
            </w:r>
            <w:r w:rsidR="005F2792">
              <w:rPr>
                <w:u w:val="single"/>
              </w:rPr>
              <w:t>8</w:t>
            </w:r>
            <w:r w:rsidRPr="001E0910">
              <w:t>.</w:t>
            </w:r>
          </w:p>
        </w:tc>
        <w:tc>
          <w:tcPr>
            <w:tcW w:w="2977" w:type="dxa"/>
          </w:tcPr>
          <w:p w14:paraId="5D02C394" w14:textId="77777777" w:rsidR="00EB22B8" w:rsidRPr="001E0910" w:rsidRDefault="00EB22B8" w:rsidP="00EB22B8">
            <w:r w:rsidRPr="001E0910">
              <w:t>i. Incident reports for incidents which cased or threat</w:t>
            </w:r>
            <w:r w:rsidRPr="001E0910">
              <w:rPr>
                <w:u w:val="single"/>
              </w:rPr>
              <w:t>e</w:t>
            </w:r>
            <w:r>
              <w:rPr>
                <w:u w:val="single"/>
              </w:rPr>
              <w:t>n</w:t>
            </w:r>
            <w:r w:rsidRPr="001E0910">
              <w:t>ed to cause personal injury, property damage, or disruption of courthouse proceedings or general events as deemed necessary by local court policy</w:t>
            </w:r>
          </w:p>
        </w:tc>
        <w:tc>
          <w:tcPr>
            <w:tcW w:w="2610" w:type="dxa"/>
          </w:tcPr>
          <w:p w14:paraId="4E15F502" w14:textId="77777777" w:rsidR="00EB22B8" w:rsidRPr="001E0910" w:rsidRDefault="00EB22B8" w:rsidP="00EB22B8">
            <w:r w:rsidRPr="001E0910">
              <w:t>5 years from the year prepared. Exception: retain throughout the life of an open investigation, if applicable</w:t>
            </w:r>
          </w:p>
        </w:tc>
        <w:tc>
          <w:tcPr>
            <w:tcW w:w="1530" w:type="dxa"/>
          </w:tcPr>
          <w:p w14:paraId="3B652B50" w14:textId="77777777" w:rsidR="00EB22B8" w:rsidRPr="001E0910" w:rsidRDefault="00EB22B8" w:rsidP="00EB22B8">
            <w:pPr>
              <w:pStyle w:val="CommentText"/>
              <w:tabs>
                <w:tab w:val="left" w:pos="-720"/>
                <w:tab w:val="left" w:pos="-420"/>
              </w:tabs>
              <w:outlineLvl w:val="0"/>
              <w:rPr>
                <w:sz w:val="24"/>
                <w:szCs w:val="24"/>
              </w:rPr>
            </w:pPr>
            <w:r w:rsidRPr="001E0910">
              <w:rPr>
                <w:sz w:val="24"/>
                <w:szCs w:val="24"/>
              </w:rPr>
              <w:t>N/A</w:t>
            </w:r>
          </w:p>
        </w:tc>
        <w:tc>
          <w:tcPr>
            <w:tcW w:w="1906" w:type="dxa"/>
          </w:tcPr>
          <w:p w14:paraId="333B70E2" w14:textId="77777777" w:rsidR="00EB22B8" w:rsidRPr="001E0910" w:rsidRDefault="00EB22B8" w:rsidP="00EB22B8">
            <w:pPr>
              <w:pStyle w:val="CommentText"/>
              <w:tabs>
                <w:tab w:val="left" w:pos="-720"/>
                <w:tab w:val="left" w:pos="-420"/>
              </w:tabs>
              <w:outlineLvl w:val="0"/>
              <w:rPr>
                <w:sz w:val="24"/>
                <w:szCs w:val="24"/>
              </w:rPr>
            </w:pPr>
            <w:r w:rsidRPr="001E0910">
              <w:rPr>
                <w:sz w:val="24"/>
                <w:szCs w:val="24"/>
              </w:rPr>
              <w:t>N/A</w:t>
            </w:r>
          </w:p>
        </w:tc>
      </w:tr>
      <w:tr w:rsidR="00EB22B8" w:rsidRPr="00F52654" w14:paraId="6EDF0386" w14:textId="77777777" w:rsidTr="0096109A">
        <w:trPr>
          <w:cantSplit/>
          <w:jc w:val="center"/>
        </w:trPr>
        <w:tc>
          <w:tcPr>
            <w:tcW w:w="10052" w:type="dxa"/>
            <w:gridSpan w:val="6"/>
            <w:tcBorders>
              <w:bottom w:val="single" w:sz="4" w:space="0" w:color="auto"/>
            </w:tcBorders>
          </w:tcPr>
          <w:p w14:paraId="137AF393" w14:textId="77777777" w:rsidR="00EB22B8" w:rsidRDefault="00EB22B8" w:rsidP="00EB22B8">
            <w:pPr>
              <w:pStyle w:val="CommentText"/>
              <w:tabs>
                <w:tab w:val="left" w:pos="-720"/>
                <w:tab w:val="left" w:pos="-420"/>
              </w:tabs>
              <w:outlineLvl w:val="0"/>
              <w:rPr>
                <w:sz w:val="24"/>
                <w:szCs w:val="24"/>
                <w:u w:val="single"/>
              </w:rPr>
            </w:pPr>
            <w:r>
              <w:rPr>
                <w:sz w:val="24"/>
                <w:szCs w:val="24"/>
              </w:rPr>
              <w:t>3</w:t>
            </w:r>
            <w:r w:rsidR="00F136AC">
              <w:rPr>
                <w:sz w:val="24"/>
                <w:szCs w:val="24"/>
              </w:rPr>
              <w:t>7</w:t>
            </w:r>
            <w:r>
              <w:rPr>
                <w:sz w:val="24"/>
                <w:szCs w:val="24"/>
              </w:rPr>
              <w:t>.</w:t>
            </w:r>
            <w:r w:rsidRPr="001E0910">
              <w:rPr>
                <w:sz w:val="24"/>
                <w:szCs w:val="24"/>
              </w:rPr>
              <w:t xml:space="preserve"> through </w:t>
            </w:r>
            <w:r>
              <w:rPr>
                <w:sz w:val="24"/>
                <w:szCs w:val="24"/>
              </w:rPr>
              <w:t>42</w:t>
            </w:r>
            <w:r w:rsidRPr="001E0910">
              <w:rPr>
                <w:sz w:val="24"/>
                <w:szCs w:val="24"/>
              </w:rPr>
              <w:t>. [renumber]</w:t>
            </w:r>
          </w:p>
        </w:tc>
      </w:tr>
    </w:tbl>
    <w:p w14:paraId="7C972390" w14:textId="77777777" w:rsidR="002039EE" w:rsidRDefault="002039EE" w:rsidP="002039EE">
      <w:pPr>
        <w:jc w:val="both"/>
      </w:pPr>
    </w:p>
    <w:p w14:paraId="4D3C3D21" w14:textId="77777777" w:rsidR="001A74CC" w:rsidRDefault="001E0910" w:rsidP="002039EE">
      <w:pPr>
        <w:jc w:val="both"/>
      </w:pPr>
      <w:r>
        <w:rPr>
          <w:bCs/>
        </w:rPr>
        <w:t xml:space="preserve"> </w:t>
      </w:r>
    </w:p>
    <w:sectPr w:rsidR="001A74CC" w:rsidSect="007C732A">
      <w:footerReference w:type="even"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BCD64" w14:textId="77777777" w:rsidR="007C2F31" w:rsidRDefault="007C2F31" w:rsidP="00292439">
      <w:r>
        <w:separator/>
      </w:r>
    </w:p>
  </w:endnote>
  <w:endnote w:type="continuationSeparator" w:id="0">
    <w:p w14:paraId="22F4F62F" w14:textId="77777777" w:rsidR="007C2F31" w:rsidRDefault="007C2F31" w:rsidP="0029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9B46" w14:textId="77777777" w:rsidR="007C732A" w:rsidRDefault="00292439" w:rsidP="007C732A">
    <w:pPr>
      <w:pStyle w:val="Footer"/>
      <w:framePr w:wrap="around" w:vAnchor="text" w:hAnchor="margin" w:xAlign="center" w:y="1"/>
      <w:rPr>
        <w:rStyle w:val="PageNumber"/>
      </w:rPr>
    </w:pPr>
    <w:r>
      <w:rPr>
        <w:rStyle w:val="PageNumber"/>
      </w:rPr>
      <w:fldChar w:fldCharType="begin"/>
    </w:r>
    <w:r w:rsidR="009574C5">
      <w:rPr>
        <w:rStyle w:val="PageNumber"/>
      </w:rPr>
      <w:instrText xml:space="preserve">PAGE  </w:instrText>
    </w:r>
    <w:r>
      <w:rPr>
        <w:rStyle w:val="PageNumber"/>
      </w:rPr>
      <w:fldChar w:fldCharType="end"/>
    </w:r>
  </w:p>
  <w:p w14:paraId="78E2A584" w14:textId="77777777" w:rsidR="007C732A" w:rsidRDefault="007C732A" w:rsidP="007C73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E725" w14:textId="77777777" w:rsidR="007C732A" w:rsidRDefault="00292439" w:rsidP="007C732A">
    <w:pPr>
      <w:pStyle w:val="Footer"/>
      <w:ind w:right="360"/>
      <w:jc w:val="center"/>
    </w:pPr>
    <w:r>
      <w:rPr>
        <w:rStyle w:val="PageNumber"/>
      </w:rPr>
      <w:fldChar w:fldCharType="begin"/>
    </w:r>
    <w:r w:rsidR="009574C5">
      <w:rPr>
        <w:rStyle w:val="PageNumber"/>
      </w:rPr>
      <w:instrText xml:space="preserve"> PAGE </w:instrText>
    </w:r>
    <w:r>
      <w:rPr>
        <w:rStyle w:val="PageNumber"/>
      </w:rPr>
      <w:fldChar w:fldCharType="separate"/>
    </w:r>
    <w:r w:rsidR="00AF1D61">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C061" w14:textId="77777777" w:rsidR="007C2F31" w:rsidRDefault="007C2F31" w:rsidP="00292439">
      <w:r>
        <w:separator/>
      </w:r>
    </w:p>
  </w:footnote>
  <w:footnote w:type="continuationSeparator" w:id="0">
    <w:p w14:paraId="0E1ADAD3" w14:textId="77777777" w:rsidR="007C2F31" w:rsidRDefault="007C2F31" w:rsidP="0029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00E3"/>
    <w:multiLevelType w:val="hybridMultilevel"/>
    <w:tmpl w:val="38A43B2C"/>
    <w:lvl w:ilvl="0" w:tplc="0409001B">
      <w:start w:val="1"/>
      <w:numFmt w:val="lowerRoman"/>
      <w:lvlText w:val="%1."/>
      <w:lvlJc w:val="righ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D680E6C"/>
    <w:multiLevelType w:val="hybridMultilevel"/>
    <w:tmpl w:val="FB1C0282"/>
    <w:lvl w:ilvl="0" w:tplc="C9F43A0A">
      <w:start w:val="1"/>
      <w:numFmt w:val="lowerRoman"/>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DD75B7"/>
    <w:multiLevelType w:val="hybridMultilevel"/>
    <w:tmpl w:val="1752E238"/>
    <w:lvl w:ilvl="0" w:tplc="C9F43A0A">
      <w:start w:val="1"/>
      <w:numFmt w:val="lowerRoman"/>
      <w:lvlText w:val="%1."/>
      <w:lvlJc w:val="left"/>
      <w:pPr>
        <w:ind w:left="1260" w:hanging="90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505BB"/>
    <w:multiLevelType w:val="hybridMultilevel"/>
    <w:tmpl w:val="0960EC24"/>
    <w:lvl w:ilvl="0" w:tplc="C9F43A0A">
      <w:start w:val="1"/>
      <w:numFmt w:val="lowerRoman"/>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B032DB"/>
    <w:multiLevelType w:val="hybridMultilevel"/>
    <w:tmpl w:val="703AD4AE"/>
    <w:lvl w:ilvl="0" w:tplc="C9F43A0A">
      <w:start w:val="1"/>
      <w:numFmt w:val="lowerRoman"/>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D0155"/>
    <w:multiLevelType w:val="hybridMultilevel"/>
    <w:tmpl w:val="F3E65AD0"/>
    <w:lvl w:ilvl="0" w:tplc="EF74C4D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407AF2"/>
    <w:multiLevelType w:val="hybridMultilevel"/>
    <w:tmpl w:val="1944CAA4"/>
    <w:lvl w:ilvl="0" w:tplc="7B3AE712">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66C77"/>
    <w:multiLevelType w:val="hybridMultilevel"/>
    <w:tmpl w:val="C962327C"/>
    <w:lvl w:ilvl="0" w:tplc="0CA0C636">
      <w:start w:val="1"/>
      <w:numFmt w:val="lowerRoman"/>
      <w:lvlText w:val="%1."/>
      <w:lvlJc w:val="left"/>
      <w:pPr>
        <w:ind w:left="900" w:hanging="54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CC1B4E"/>
    <w:multiLevelType w:val="hybridMultilevel"/>
    <w:tmpl w:val="5316D97C"/>
    <w:lvl w:ilvl="0" w:tplc="DCFA1590">
      <w:start w:val="1"/>
      <w:numFmt w:val="lowerRoman"/>
      <w:lvlText w:val="%1."/>
      <w:lvlJc w:val="righ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241C0"/>
    <w:multiLevelType w:val="hybridMultilevel"/>
    <w:tmpl w:val="F9668ADC"/>
    <w:lvl w:ilvl="0" w:tplc="A554137A">
      <w:start w:val="1"/>
      <w:numFmt w:val="lowerRoman"/>
      <w:lvlText w:val="%1."/>
      <w:lvlJc w:val="righ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805E1"/>
    <w:multiLevelType w:val="hybridMultilevel"/>
    <w:tmpl w:val="4186001E"/>
    <w:lvl w:ilvl="0" w:tplc="E954CE74">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44F0A"/>
    <w:multiLevelType w:val="hybridMultilevel"/>
    <w:tmpl w:val="F71E043E"/>
    <w:lvl w:ilvl="0" w:tplc="C9F43A0A">
      <w:start w:val="1"/>
      <w:numFmt w:val="lowerRoman"/>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B5168"/>
    <w:multiLevelType w:val="hybridMultilevel"/>
    <w:tmpl w:val="958A5EF2"/>
    <w:lvl w:ilvl="0" w:tplc="C9F43A0A">
      <w:start w:val="1"/>
      <w:numFmt w:val="lowerRoman"/>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0799F"/>
    <w:multiLevelType w:val="hybridMultilevel"/>
    <w:tmpl w:val="4D3EDC8A"/>
    <w:lvl w:ilvl="0" w:tplc="0CBCF75E">
      <w:start w:val="1"/>
      <w:numFmt w:val="decimal"/>
      <w:lvlText w:val="%1."/>
      <w:lvlJc w:val="left"/>
      <w:pPr>
        <w:ind w:left="720" w:hanging="360"/>
      </w:pPr>
      <w:rPr>
        <w:rFonts w:hint="default"/>
        <w:u w:val="none"/>
      </w:rPr>
    </w:lvl>
    <w:lvl w:ilvl="1" w:tplc="E3389254">
      <w:start w:val="1"/>
      <w:numFmt w:val="lowerLetter"/>
      <w:lvlText w:val="%2."/>
      <w:lvlJc w:val="left"/>
      <w:pPr>
        <w:ind w:left="1440" w:hanging="360"/>
      </w:pPr>
      <w:rPr>
        <w:u w:val="none"/>
      </w:rPr>
    </w:lvl>
    <w:lvl w:ilvl="2" w:tplc="0409001B">
      <w:start w:val="1"/>
      <w:numFmt w:val="lowerRoman"/>
      <w:lvlText w:val="%3."/>
      <w:lvlJc w:val="right"/>
      <w:pPr>
        <w:ind w:left="2160" w:hanging="180"/>
      </w:pPr>
    </w:lvl>
    <w:lvl w:ilvl="3" w:tplc="26865004">
      <w:start w:val="1"/>
      <w:numFmt w:val="decimal"/>
      <w:lvlText w:val="(%4)"/>
      <w:lvlJc w:val="left"/>
      <w:pPr>
        <w:ind w:left="2880" w:hanging="360"/>
      </w:pPr>
      <w:rPr>
        <w:rFonts w:hint="default"/>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07C7F"/>
    <w:multiLevelType w:val="hybridMultilevel"/>
    <w:tmpl w:val="EF5426A6"/>
    <w:lvl w:ilvl="0" w:tplc="1A768A46">
      <w:start w:val="1"/>
      <w:numFmt w:val="lowerRoman"/>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5403A"/>
    <w:multiLevelType w:val="hybridMultilevel"/>
    <w:tmpl w:val="8D488CB0"/>
    <w:lvl w:ilvl="0" w:tplc="7670072A">
      <w:start w:val="1"/>
      <w:numFmt w:val="lowerRoman"/>
      <w:lvlText w:val="%1."/>
      <w:lvlJc w:val="right"/>
      <w:pPr>
        <w:ind w:left="720" w:hanging="18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02643"/>
    <w:multiLevelType w:val="hybridMultilevel"/>
    <w:tmpl w:val="151E5C64"/>
    <w:lvl w:ilvl="0" w:tplc="C9F43A0A">
      <w:start w:val="1"/>
      <w:numFmt w:val="lowerRoman"/>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12AB3"/>
    <w:multiLevelType w:val="hybridMultilevel"/>
    <w:tmpl w:val="22C41CD4"/>
    <w:lvl w:ilvl="0" w:tplc="472AA3FA">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F2E86"/>
    <w:multiLevelType w:val="hybridMultilevel"/>
    <w:tmpl w:val="B42C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263BA"/>
    <w:multiLevelType w:val="hybridMultilevel"/>
    <w:tmpl w:val="0FD6E484"/>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B3CD2"/>
    <w:multiLevelType w:val="hybridMultilevel"/>
    <w:tmpl w:val="32CC0B7C"/>
    <w:lvl w:ilvl="0" w:tplc="F784059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072A0"/>
    <w:multiLevelType w:val="hybridMultilevel"/>
    <w:tmpl w:val="66AC513C"/>
    <w:lvl w:ilvl="0" w:tplc="C9F43A0A">
      <w:start w:val="1"/>
      <w:numFmt w:val="lowerRoman"/>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F31E9"/>
    <w:multiLevelType w:val="hybridMultilevel"/>
    <w:tmpl w:val="38A699F8"/>
    <w:lvl w:ilvl="0" w:tplc="7670072A">
      <w:start w:val="1"/>
      <w:numFmt w:val="lowerRoman"/>
      <w:lvlText w:val="%1."/>
      <w:lvlJc w:val="right"/>
      <w:pPr>
        <w:ind w:left="720" w:hanging="18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74228"/>
    <w:multiLevelType w:val="hybridMultilevel"/>
    <w:tmpl w:val="40F0C4B6"/>
    <w:lvl w:ilvl="0" w:tplc="054CA8F4">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5230117">
    <w:abstractNumId w:val="0"/>
  </w:num>
  <w:num w:numId="2" w16cid:durableId="1602450389">
    <w:abstractNumId w:val="18"/>
  </w:num>
  <w:num w:numId="3" w16cid:durableId="178349473">
    <w:abstractNumId w:val="20"/>
  </w:num>
  <w:num w:numId="4" w16cid:durableId="690641073">
    <w:abstractNumId w:val="13"/>
  </w:num>
  <w:num w:numId="5" w16cid:durableId="1190068795">
    <w:abstractNumId w:val="22"/>
  </w:num>
  <w:num w:numId="6" w16cid:durableId="1089232044">
    <w:abstractNumId w:val="2"/>
  </w:num>
  <w:num w:numId="7" w16cid:durableId="257519320">
    <w:abstractNumId w:val="23"/>
  </w:num>
  <w:num w:numId="8" w16cid:durableId="414089210">
    <w:abstractNumId w:val="8"/>
  </w:num>
  <w:num w:numId="9" w16cid:durableId="2105496536">
    <w:abstractNumId w:val="15"/>
  </w:num>
  <w:num w:numId="10" w16cid:durableId="1227103538">
    <w:abstractNumId w:val="12"/>
  </w:num>
  <w:num w:numId="11" w16cid:durableId="1156261337">
    <w:abstractNumId w:val="3"/>
  </w:num>
  <w:num w:numId="12" w16cid:durableId="1059673034">
    <w:abstractNumId w:val="16"/>
  </w:num>
  <w:num w:numId="13" w16cid:durableId="799615736">
    <w:abstractNumId w:val="1"/>
  </w:num>
  <w:num w:numId="14" w16cid:durableId="567037676">
    <w:abstractNumId w:val="7"/>
  </w:num>
  <w:num w:numId="15" w16cid:durableId="135027627">
    <w:abstractNumId w:val="4"/>
  </w:num>
  <w:num w:numId="16" w16cid:durableId="27488641">
    <w:abstractNumId w:val="14"/>
  </w:num>
  <w:num w:numId="17" w16cid:durableId="691304714">
    <w:abstractNumId w:val="21"/>
  </w:num>
  <w:num w:numId="18" w16cid:durableId="1227956303">
    <w:abstractNumId w:val="11"/>
  </w:num>
  <w:num w:numId="19" w16cid:durableId="822356646">
    <w:abstractNumId w:val="17"/>
  </w:num>
  <w:num w:numId="20" w16cid:durableId="1364096023">
    <w:abstractNumId w:val="6"/>
  </w:num>
  <w:num w:numId="21" w16cid:durableId="1886598010">
    <w:abstractNumId w:val="10"/>
  </w:num>
  <w:num w:numId="22" w16cid:durableId="210658054">
    <w:abstractNumId w:val="19"/>
  </w:num>
  <w:num w:numId="23" w16cid:durableId="700281818">
    <w:abstractNumId w:val="5"/>
  </w:num>
  <w:num w:numId="24" w16cid:durableId="934677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4C5"/>
    <w:rsid w:val="0000110E"/>
    <w:rsid w:val="000131C1"/>
    <w:rsid w:val="000132E4"/>
    <w:rsid w:val="00024050"/>
    <w:rsid w:val="000241AE"/>
    <w:rsid w:val="00044693"/>
    <w:rsid w:val="000463A9"/>
    <w:rsid w:val="000A0BC7"/>
    <w:rsid w:val="000A6651"/>
    <w:rsid w:val="000A7BD9"/>
    <w:rsid w:val="000E37AD"/>
    <w:rsid w:val="00117FE8"/>
    <w:rsid w:val="00151043"/>
    <w:rsid w:val="00162B77"/>
    <w:rsid w:val="00177278"/>
    <w:rsid w:val="00180895"/>
    <w:rsid w:val="00192B2A"/>
    <w:rsid w:val="00193082"/>
    <w:rsid w:val="001A562D"/>
    <w:rsid w:val="001A74CC"/>
    <w:rsid w:val="001E0910"/>
    <w:rsid w:val="001F115F"/>
    <w:rsid w:val="001F6616"/>
    <w:rsid w:val="001F695A"/>
    <w:rsid w:val="001F6E8B"/>
    <w:rsid w:val="00201CA3"/>
    <w:rsid w:val="002039EE"/>
    <w:rsid w:val="0020457F"/>
    <w:rsid w:val="002361C7"/>
    <w:rsid w:val="00253C57"/>
    <w:rsid w:val="00272E14"/>
    <w:rsid w:val="00292439"/>
    <w:rsid w:val="002B3684"/>
    <w:rsid w:val="002C5723"/>
    <w:rsid w:val="002E4E02"/>
    <w:rsid w:val="003241C0"/>
    <w:rsid w:val="003514AD"/>
    <w:rsid w:val="003548E3"/>
    <w:rsid w:val="0036138B"/>
    <w:rsid w:val="003704D6"/>
    <w:rsid w:val="00381ED0"/>
    <w:rsid w:val="0038439E"/>
    <w:rsid w:val="003F7043"/>
    <w:rsid w:val="00410BB1"/>
    <w:rsid w:val="004151E9"/>
    <w:rsid w:val="004436AD"/>
    <w:rsid w:val="004B29BC"/>
    <w:rsid w:val="004C24E9"/>
    <w:rsid w:val="004D4F8A"/>
    <w:rsid w:val="004F482D"/>
    <w:rsid w:val="005265F7"/>
    <w:rsid w:val="005322D9"/>
    <w:rsid w:val="00545ABA"/>
    <w:rsid w:val="00551BDE"/>
    <w:rsid w:val="005734BA"/>
    <w:rsid w:val="0058492E"/>
    <w:rsid w:val="00590F11"/>
    <w:rsid w:val="00597F2F"/>
    <w:rsid w:val="005E07D0"/>
    <w:rsid w:val="005E77A4"/>
    <w:rsid w:val="005F2792"/>
    <w:rsid w:val="00611B93"/>
    <w:rsid w:val="00611CE9"/>
    <w:rsid w:val="00622F93"/>
    <w:rsid w:val="00627C52"/>
    <w:rsid w:val="00633004"/>
    <w:rsid w:val="00634C2C"/>
    <w:rsid w:val="006B5A4B"/>
    <w:rsid w:val="006C1048"/>
    <w:rsid w:val="006C1BE7"/>
    <w:rsid w:val="006C28A7"/>
    <w:rsid w:val="006C3A6F"/>
    <w:rsid w:val="00714D75"/>
    <w:rsid w:val="0072698A"/>
    <w:rsid w:val="0073596A"/>
    <w:rsid w:val="00776DB5"/>
    <w:rsid w:val="0078618F"/>
    <w:rsid w:val="007967A5"/>
    <w:rsid w:val="007B19C7"/>
    <w:rsid w:val="007C2F31"/>
    <w:rsid w:val="007C732A"/>
    <w:rsid w:val="007E3725"/>
    <w:rsid w:val="0081066C"/>
    <w:rsid w:val="0082774D"/>
    <w:rsid w:val="00830E70"/>
    <w:rsid w:val="008530F9"/>
    <w:rsid w:val="0087526E"/>
    <w:rsid w:val="008A42EA"/>
    <w:rsid w:val="008C3080"/>
    <w:rsid w:val="008D4F70"/>
    <w:rsid w:val="008E2A54"/>
    <w:rsid w:val="009157F8"/>
    <w:rsid w:val="00920979"/>
    <w:rsid w:val="00921114"/>
    <w:rsid w:val="009308F6"/>
    <w:rsid w:val="00935488"/>
    <w:rsid w:val="00945097"/>
    <w:rsid w:val="009574C5"/>
    <w:rsid w:val="0096109A"/>
    <w:rsid w:val="00966933"/>
    <w:rsid w:val="009755BD"/>
    <w:rsid w:val="009A5782"/>
    <w:rsid w:val="009B0492"/>
    <w:rsid w:val="009C7C38"/>
    <w:rsid w:val="009D30E4"/>
    <w:rsid w:val="009E4503"/>
    <w:rsid w:val="009F3DFC"/>
    <w:rsid w:val="00A111B4"/>
    <w:rsid w:val="00A17DBB"/>
    <w:rsid w:val="00A245EF"/>
    <w:rsid w:val="00A2770E"/>
    <w:rsid w:val="00A34347"/>
    <w:rsid w:val="00A65BB4"/>
    <w:rsid w:val="00A73506"/>
    <w:rsid w:val="00AB56A1"/>
    <w:rsid w:val="00AC11BB"/>
    <w:rsid w:val="00AC202C"/>
    <w:rsid w:val="00AD19F9"/>
    <w:rsid w:val="00AE034A"/>
    <w:rsid w:val="00AE2280"/>
    <w:rsid w:val="00AF1D61"/>
    <w:rsid w:val="00AF509A"/>
    <w:rsid w:val="00B17C57"/>
    <w:rsid w:val="00B31F39"/>
    <w:rsid w:val="00B50CE1"/>
    <w:rsid w:val="00B52FAC"/>
    <w:rsid w:val="00B65FBD"/>
    <w:rsid w:val="00B7782F"/>
    <w:rsid w:val="00B922BA"/>
    <w:rsid w:val="00BA2D7E"/>
    <w:rsid w:val="00BE02DA"/>
    <w:rsid w:val="00C24483"/>
    <w:rsid w:val="00C24723"/>
    <w:rsid w:val="00C27A7F"/>
    <w:rsid w:val="00C33984"/>
    <w:rsid w:val="00C6204F"/>
    <w:rsid w:val="00C830A1"/>
    <w:rsid w:val="00C938A1"/>
    <w:rsid w:val="00CA499C"/>
    <w:rsid w:val="00CE6DAF"/>
    <w:rsid w:val="00D3621D"/>
    <w:rsid w:val="00D868E0"/>
    <w:rsid w:val="00DD1E4B"/>
    <w:rsid w:val="00DE45DC"/>
    <w:rsid w:val="00E04E6D"/>
    <w:rsid w:val="00E27B60"/>
    <w:rsid w:val="00E3645D"/>
    <w:rsid w:val="00E51D40"/>
    <w:rsid w:val="00EB22B8"/>
    <w:rsid w:val="00ED3A3A"/>
    <w:rsid w:val="00EF4AF8"/>
    <w:rsid w:val="00F043D1"/>
    <w:rsid w:val="00F136AC"/>
    <w:rsid w:val="00F15098"/>
    <w:rsid w:val="00F369D2"/>
    <w:rsid w:val="00F519A5"/>
    <w:rsid w:val="00F52654"/>
    <w:rsid w:val="00F6129F"/>
    <w:rsid w:val="00F70DF5"/>
    <w:rsid w:val="00F854A3"/>
    <w:rsid w:val="00F963AA"/>
    <w:rsid w:val="00F965FA"/>
    <w:rsid w:val="00FA0BFE"/>
    <w:rsid w:val="00FA6655"/>
    <w:rsid w:val="00FB23AA"/>
    <w:rsid w:val="00FC29B0"/>
    <w:rsid w:val="00FE38F4"/>
    <w:rsid w:val="00FE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016D371"/>
  <w15:chartTrackingRefBased/>
  <w15:docId w15:val="{CD96A42E-88D4-4119-B8B4-0EF6A9CF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C5"/>
    <w:rPr>
      <w:rFonts w:ascii="Times New Roman" w:eastAsia="Times New Roman" w:hAnsi="Times New Roman"/>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4C5"/>
    <w:pPr>
      <w:widowControl w:val="0"/>
      <w:tabs>
        <w:tab w:val="center" w:pos="4320"/>
        <w:tab w:val="right" w:pos="8640"/>
      </w:tabs>
    </w:pPr>
    <w:rPr>
      <w:bCs/>
      <w:szCs w:val="20"/>
    </w:rPr>
  </w:style>
  <w:style w:type="character" w:customStyle="1" w:styleId="HeaderChar">
    <w:name w:val="Header Char"/>
    <w:link w:val="Header"/>
    <w:rsid w:val="009574C5"/>
    <w:rPr>
      <w:rFonts w:ascii="Times New Roman" w:eastAsia="Times New Roman" w:hAnsi="Times New Roman" w:cs="Times New Roman"/>
      <w:bCs/>
      <w:snapToGrid w:val="0"/>
      <w:sz w:val="24"/>
      <w:szCs w:val="20"/>
    </w:rPr>
  </w:style>
  <w:style w:type="paragraph" w:styleId="CommentText">
    <w:name w:val="annotation text"/>
    <w:basedOn w:val="Normal"/>
    <w:link w:val="CommentTextChar"/>
    <w:semiHidden/>
    <w:rsid w:val="009574C5"/>
    <w:pPr>
      <w:widowControl w:val="0"/>
    </w:pPr>
    <w:rPr>
      <w:bCs/>
      <w:sz w:val="20"/>
      <w:szCs w:val="20"/>
    </w:rPr>
  </w:style>
  <w:style w:type="character" w:customStyle="1" w:styleId="CommentTextChar">
    <w:name w:val="Comment Text Char"/>
    <w:link w:val="CommentText"/>
    <w:semiHidden/>
    <w:rsid w:val="009574C5"/>
    <w:rPr>
      <w:rFonts w:ascii="Times New Roman" w:eastAsia="Times New Roman" w:hAnsi="Times New Roman" w:cs="Times New Roman"/>
      <w:bCs/>
      <w:snapToGrid w:val="0"/>
      <w:sz w:val="20"/>
      <w:szCs w:val="20"/>
    </w:rPr>
  </w:style>
  <w:style w:type="paragraph" w:styleId="Footer">
    <w:name w:val="footer"/>
    <w:basedOn w:val="Normal"/>
    <w:link w:val="FooterChar"/>
    <w:rsid w:val="009574C5"/>
    <w:pPr>
      <w:tabs>
        <w:tab w:val="center" w:pos="4320"/>
        <w:tab w:val="right" w:pos="8640"/>
      </w:tabs>
    </w:pPr>
  </w:style>
  <w:style w:type="character" w:customStyle="1" w:styleId="FooterChar">
    <w:name w:val="Footer Char"/>
    <w:link w:val="Footer"/>
    <w:rsid w:val="009574C5"/>
    <w:rPr>
      <w:rFonts w:ascii="Times New Roman" w:eastAsia="Times New Roman" w:hAnsi="Times New Roman" w:cs="Times New Roman"/>
      <w:snapToGrid w:val="0"/>
      <w:sz w:val="24"/>
      <w:szCs w:val="24"/>
    </w:rPr>
  </w:style>
  <w:style w:type="character" w:styleId="PageNumber">
    <w:name w:val="page number"/>
    <w:basedOn w:val="DefaultParagraphFont"/>
    <w:rsid w:val="009574C5"/>
  </w:style>
  <w:style w:type="character" w:styleId="CommentReference">
    <w:name w:val="annotation reference"/>
    <w:semiHidden/>
    <w:rsid w:val="009574C5"/>
    <w:rPr>
      <w:sz w:val="16"/>
      <w:szCs w:val="16"/>
    </w:rPr>
  </w:style>
  <w:style w:type="paragraph" w:styleId="BalloonText">
    <w:name w:val="Balloon Text"/>
    <w:basedOn w:val="Normal"/>
    <w:link w:val="BalloonTextChar"/>
    <w:uiPriority w:val="99"/>
    <w:semiHidden/>
    <w:unhideWhenUsed/>
    <w:rsid w:val="009574C5"/>
    <w:rPr>
      <w:rFonts w:ascii="Tahoma" w:hAnsi="Tahoma" w:cs="Tahoma"/>
      <w:sz w:val="16"/>
      <w:szCs w:val="16"/>
    </w:rPr>
  </w:style>
  <w:style w:type="character" w:customStyle="1" w:styleId="BalloonTextChar">
    <w:name w:val="Balloon Text Char"/>
    <w:link w:val="BalloonText"/>
    <w:uiPriority w:val="99"/>
    <w:semiHidden/>
    <w:rsid w:val="009574C5"/>
    <w:rPr>
      <w:rFonts w:ascii="Tahoma" w:eastAsia="Times New Roman" w:hAnsi="Tahoma" w:cs="Tahoma"/>
      <w:snapToGrid w:val="0"/>
      <w:sz w:val="16"/>
      <w:szCs w:val="16"/>
    </w:rPr>
  </w:style>
  <w:style w:type="paragraph" w:styleId="ListParagraph">
    <w:name w:val="List Paragraph"/>
    <w:basedOn w:val="Normal"/>
    <w:uiPriority w:val="34"/>
    <w:qFormat/>
    <w:rsid w:val="00CA499C"/>
    <w:pPr>
      <w:ind w:left="720"/>
    </w:pPr>
    <w:rPr>
      <w:snapToGrid/>
      <w:sz w:val="20"/>
      <w:szCs w:val="20"/>
    </w:rPr>
  </w:style>
  <w:style w:type="paragraph" w:styleId="FootnoteText">
    <w:name w:val="footnote text"/>
    <w:basedOn w:val="Normal"/>
    <w:link w:val="FootnoteTextChar"/>
    <w:uiPriority w:val="99"/>
    <w:semiHidden/>
    <w:unhideWhenUsed/>
    <w:rsid w:val="00CA499C"/>
    <w:rPr>
      <w:sz w:val="20"/>
      <w:szCs w:val="20"/>
    </w:rPr>
  </w:style>
  <w:style w:type="character" w:customStyle="1" w:styleId="FootnoteTextChar">
    <w:name w:val="Footnote Text Char"/>
    <w:link w:val="FootnoteText"/>
    <w:uiPriority w:val="99"/>
    <w:semiHidden/>
    <w:rsid w:val="00CA499C"/>
    <w:rPr>
      <w:rFonts w:ascii="Times New Roman" w:eastAsia="Times New Roman" w:hAnsi="Times New Roman"/>
      <w:snapToGrid w:val="0"/>
    </w:rPr>
  </w:style>
  <w:style w:type="character" w:styleId="FootnoteReference">
    <w:name w:val="footnote reference"/>
    <w:uiPriority w:val="99"/>
    <w:semiHidden/>
    <w:unhideWhenUsed/>
    <w:rsid w:val="00CA499C"/>
    <w:rPr>
      <w:vertAlign w:val="superscript"/>
    </w:rPr>
  </w:style>
  <w:style w:type="paragraph" w:styleId="EndnoteText">
    <w:name w:val="endnote text"/>
    <w:basedOn w:val="Normal"/>
    <w:link w:val="EndnoteTextChar"/>
    <w:uiPriority w:val="99"/>
    <w:semiHidden/>
    <w:unhideWhenUsed/>
    <w:rsid w:val="00B922BA"/>
    <w:rPr>
      <w:sz w:val="20"/>
      <w:szCs w:val="20"/>
    </w:rPr>
  </w:style>
  <w:style w:type="character" w:customStyle="1" w:styleId="EndnoteTextChar">
    <w:name w:val="Endnote Text Char"/>
    <w:link w:val="EndnoteText"/>
    <w:uiPriority w:val="99"/>
    <w:semiHidden/>
    <w:rsid w:val="00B922BA"/>
    <w:rPr>
      <w:rFonts w:ascii="Times New Roman" w:eastAsia="Times New Roman" w:hAnsi="Times New Roman"/>
      <w:snapToGrid w:val="0"/>
    </w:rPr>
  </w:style>
  <w:style w:type="character" w:styleId="EndnoteReference">
    <w:name w:val="endnote reference"/>
    <w:uiPriority w:val="99"/>
    <w:semiHidden/>
    <w:unhideWhenUsed/>
    <w:rsid w:val="00B922BA"/>
    <w:rPr>
      <w:vertAlign w:val="superscript"/>
    </w:rPr>
  </w:style>
  <w:style w:type="paragraph" w:styleId="Revision">
    <w:name w:val="Revision"/>
    <w:hidden/>
    <w:uiPriority w:val="99"/>
    <w:semiHidden/>
    <w:rsid w:val="00B922BA"/>
    <w:rPr>
      <w:rFonts w:ascii="Times New Roman" w:eastAsia="Times New Roman" w:hAnsi="Times New Roman"/>
      <w:snapToGrid w:val="0"/>
      <w:sz w:val="24"/>
      <w:szCs w:val="24"/>
    </w:rPr>
  </w:style>
  <w:style w:type="paragraph" w:styleId="CommentSubject">
    <w:name w:val="annotation subject"/>
    <w:basedOn w:val="CommentText"/>
    <w:next w:val="CommentText"/>
    <w:link w:val="CommentSubjectChar"/>
    <w:uiPriority w:val="99"/>
    <w:semiHidden/>
    <w:unhideWhenUsed/>
    <w:rsid w:val="00A245EF"/>
    <w:pPr>
      <w:widowControl/>
    </w:pPr>
    <w:rPr>
      <w:b/>
    </w:rPr>
  </w:style>
  <w:style w:type="character" w:customStyle="1" w:styleId="CommentSubjectChar">
    <w:name w:val="Comment Subject Char"/>
    <w:link w:val="CommentSubject"/>
    <w:uiPriority w:val="99"/>
    <w:semiHidden/>
    <w:rsid w:val="00A245EF"/>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50209">
      <w:bodyDiv w:val="1"/>
      <w:marLeft w:val="0"/>
      <w:marRight w:val="0"/>
      <w:marTop w:val="0"/>
      <w:marBottom w:val="0"/>
      <w:divBdr>
        <w:top w:val="none" w:sz="0" w:space="0" w:color="auto"/>
        <w:left w:val="none" w:sz="0" w:space="0" w:color="auto"/>
        <w:bottom w:val="none" w:sz="0" w:space="0" w:color="auto"/>
        <w:right w:val="none" w:sz="0" w:space="0" w:color="auto"/>
      </w:divBdr>
    </w:div>
    <w:div w:id="1172525540">
      <w:bodyDiv w:val="1"/>
      <w:marLeft w:val="0"/>
      <w:marRight w:val="0"/>
      <w:marTop w:val="0"/>
      <w:marBottom w:val="0"/>
      <w:divBdr>
        <w:top w:val="none" w:sz="0" w:space="0" w:color="auto"/>
        <w:left w:val="none" w:sz="0" w:space="0" w:color="auto"/>
        <w:bottom w:val="none" w:sz="0" w:space="0" w:color="auto"/>
        <w:right w:val="none" w:sz="0" w:space="0" w:color="auto"/>
      </w:divBdr>
    </w:div>
    <w:div w:id="1387292421">
      <w:bodyDiv w:val="1"/>
      <w:marLeft w:val="0"/>
      <w:marRight w:val="0"/>
      <w:marTop w:val="0"/>
      <w:marBottom w:val="0"/>
      <w:divBdr>
        <w:top w:val="none" w:sz="0" w:space="0" w:color="auto"/>
        <w:left w:val="none" w:sz="0" w:space="0" w:color="auto"/>
        <w:bottom w:val="none" w:sz="0" w:space="0" w:color="auto"/>
        <w:right w:val="none" w:sz="0" w:space="0" w:color="auto"/>
      </w:divBdr>
    </w:div>
    <w:div w:id="16128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44269EF-27E9-4B4D-8530-752A02495CE8}">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535C61F8-0868-4C52-AA21-13A45493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FA8DD-2010-4358-AF43-A93475A120DD}">
  <ds:schemaRefs>
    <ds:schemaRef ds:uri="http://schemas.microsoft.com/sharepoint/v3/contenttype/forms"/>
  </ds:schemaRefs>
</ds:datastoreItem>
</file>

<file path=customXml/itemProps4.xml><?xml version="1.0" encoding="utf-8"?>
<ds:datastoreItem xmlns:ds="http://schemas.openxmlformats.org/officeDocument/2006/customXml" ds:itemID="{4D0A108D-0AC8-4301-9AC9-AB378B3FF66E}">
  <ds:schemaRefs>
    <ds:schemaRef ds:uri="http://schemas.openxmlformats.org/officeDocument/2006/bibliography"/>
  </ds:schemaRefs>
</ds:datastoreItem>
</file>

<file path=customXml/itemProps5.xml><?xml version="1.0" encoding="utf-8"?>
<ds:datastoreItem xmlns:ds="http://schemas.openxmlformats.org/officeDocument/2006/customXml" ds:itemID="{78984488-DCE3-441D-AE1E-124AA33C1FB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4528</Characters>
  <Application>Microsoft Office Word</Application>
  <DocSecurity>0</DocSecurity>
  <Lines>215</Lines>
  <Paragraphs>88</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McQueen, Amanda</cp:lastModifiedBy>
  <cp:revision>2</cp:revision>
  <cp:lastPrinted>2014-11-14T18:02:00Z</cp:lastPrinted>
  <dcterms:created xsi:type="dcterms:W3CDTF">2025-11-04T22:58:00Z</dcterms:created>
  <dcterms:modified xsi:type="dcterms:W3CDTF">2025-11-04T22:58:00Z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ies>
</file>